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84" w:rsidRPr="005B1CED" w:rsidRDefault="00EC578A" w:rsidP="00EC578A">
      <w:pPr>
        <w:jc w:val="right"/>
        <w:rPr>
          <w:rFonts w:ascii="Times New Roman" w:hAnsi="Times New Roman" w:cs="Times New Roman"/>
          <w:b/>
          <w:sz w:val="26"/>
          <w:szCs w:val="26"/>
          <w:u w:val="single"/>
        </w:rPr>
      </w:pPr>
      <w:r w:rsidRPr="005B1CED">
        <w:rPr>
          <w:rFonts w:ascii="Times New Roman" w:hAnsi="Times New Roman" w:cs="Times New Roman"/>
          <w:b/>
          <w:sz w:val="26"/>
          <w:szCs w:val="26"/>
          <w:u w:val="single"/>
        </w:rPr>
        <w:t>BIỂU MẪU 4</w:t>
      </w:r>
    </w:p>
    <w:tbl>
      <w:tblPr>
        <w:tblW w:w="5000" w:type="pct"/>
        <w:tblCellSpacing w:w="0" w:type="dxa"/>
        <w:shd w:val="clear" w:color="auto" w:fill="FFFFFF"/>
        <w:tblCellMar>
          <w:left w:w="0" w:type="dxa"/>
          <w:right w:w="0" w:type="dxa"/>
        </w:tblCellMar>
        <w:tblLook w:val="04A0"/>
      </w:tblPr>
      <w:tblGrid>
        <w:gridCol w:w="13572"/>
      </w:tblGrid>
      <w:tr w:rsidR="005B1CED" w:rsidRPr="005B1CED" w:rsidTr="005B1CED">
        <w:trPr>
          <w:tblCellSpacing w:w="0" w:type="dxa"/>
        </w:trPr>
        <w:tc>
          <w:tcPr>
            <w:tcW w:w="5000" w:type="pct"/>
            <w:shd w:val="clear" w:color="auto" w:fill="FFFFFF"/>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CỘNG HÒA XÃ HỘI CHỦ NGHĨA VIỆT NAM</w:t>
            </w:r>
            <w:r w:rsidRPr="005B1CED">
              <w:rPr>
                <w:b/>
                <w:bCs/>
                <w:color w:val="000000"/>
                <w:sz w:val="26"/>
                <w:szCs w:val="26"/>
                <w:lang w:val="vi-VN"/>
              </w:rPr>
              <w:br/>
              <w:t>Độc lập - Tự do - Hạnh phúc</w:t>
            </w:r>
            <w:r w:rsidRPr="005B1CED">
              <w:rPr>
                <w:b/>
                <w:bCs/>
                <w:color w:val="000000"/>
                <w:sz w:val="26"/>
                <w:szCs w:val="26"/>
                <w:lang w:val="vi-VN"/>
              </w:rPr>
              <w:br/>
              <w:t>---------------</w:t>
            </w:r>
          </w:p>
        </w:tc>
      </w:tr>
    </w:tbl>
    <w:p w:rsidR="005B1CED" w:rsidRPr="005B1CED" w:rsidRDefault="005B1CED" w:rsidP="005B1CED">
      <w:pPr>
        <w:pStyle w:val="NormalWeb"/>
        <w:shd w:val="clear" w:color="auto" w:fill="FFFFFF"/>
        <w:spacing w:before="0" w:beforeAutospacing="0" w:after="0" w:afterAutospacing="0" w:line="195" w:lineRule="atLeast"/>
        <w:jc w:val="center"/>
        <w:rPr>
          <w:b/>
          <w:bCs/>
          <w:color w:val="000000"/>
          <w:sz w:val="28"/>
          <w:szCs w:val="26"/>
        </w:rPr>
      </w:pPr>
      <w:bookmarkStart w:id="0" w:name="chuong_pl_2_name"/>
      <w:r w:rsidRPr="005B1CED">
        <w:rPr>
          <w:b/>
          <w:bCs/>
          <w:color w:val="000000"/>
          <w:sz w:val="28"/>
          <w:szCs w:val="26"/>
          <w:lang w:val="vi-VN"/>
        </w:rPr>
        <w:t>Bản kê khai người có liên quan</w:t>
      </w:r>
      <w:bookmarkEnd w:id="0"/>
    </w:p>
    <w:p w:rsidR="005B1CED" w:rsidRPr="005B1CED" w:rsidRDefault="005B1CED" w:rsidP="005B1CED">
      <w:pPr>
        <w:pStyle w:val="NormalWeb"/>
        <w:shd w:val="clear" w:color="auto" w:fill="FFFFFF"/>
        <w:spacing w:before="0" w:beforeAutospacing="0" w:after="0" w:afterAutospacing="0" w:line="195" w:lineRule="atLeast"/>
        <w:jc w:val="center"/>
        <w:rPr>
          <w:color w:val="000000"/>
          <w:sz w:val="26"/>
          <w:szCs w:val="26"/>
        </w:rPr>
      </w:pPr>
    </w:p>
    <w:tbl>
      <w:tblPr>
        <w:tblW w:w="5000" w:type="pct"/>
        <w:tblCellSpacing w:w="0" w:type="dxa"/>
        <w:shd w:val="clear" w:color="auto" w:fill="FFFFFF"/>
        <w:tblCellMar>
          <w:left w:w="0" w:type="dxa"/>
          <w:right w:w="0" w:type="dxa"/>
        </w:tblCellMar>
        <w:tblLook w:val="04A0"/>
      </w:tblPr>
      <w:tblGrid>
        <w:gridCol w:w="851"/>
        <w:gridCol w:w="2125"/>
        <w:gridCol w:w="1701"/>
        <w:gridCol w:w="2268"/>
        <w:gridCol w:w="1418"/>
        <w:gridCol w:w="1843"/>
        <w:gridCol w:w="2554"/>
        <w:gridCol w:w="852"/>
      </w:tblGrid>
      <w:tr w:rsidR="005B1CED" w:rsidRPr="005B1CED" w:rsidTr="005B1CE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Người khai và “người có liên quan” của người khai</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Mối quan hệ với người khai</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Số/ngày chứng minh nhân dân hoặc căn cước công dân/Hộ chiếu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Chức vụ tại tổ chức tín dụng đề nghị</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Chức vụ tại Công t</w:t>
            </w:r>
            <w:r w:rsidRPr="005B1CED">
              <w:rPr>
                <w:b/>
                <w:bCs/>
                <w:color w:val="000000"/>
                <w:sz w:val="26"/>
                <w:szCs w:val="26"/>
              </w:rPr>
              <w:t>y </w:t>
            </w:r>
            <w:r w:rsidRPr="005B1CED">
              <w:rPr>
                <w:b/>
                <w:bCs/>
                <w:color w:val="000000"/>
                <w:sz w:val="26"/>
                <w:szCs w:val="26"/>
                <w:lang w:val="vi-VN"/>
              </w:rPr>
              <w:t>con của tổ chức tín dụng đề nghị</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Tỷ lệ sở hữu cổ phần hoặc tỷ lệ vốn góp đại diện tại tổ chức tín d</w:t>
            </w:r>
            <w:r w:rsidRPr="005B1CED">
              <w:rPr>
                <w:b/>
                <w:bCs/>
                <w:color w:val="000000"/>
                <w:sz w:val="26"/>
                <w:szCs w:val="26"/>
              </w:rPr>
              <w:t>ụ</w:t>
            </w:r>
            <w:r w:rsidRPr="005B1CED">
              <w:rPr>
                <w:b/>
                <w:bCs/>
                <w:color w:val="000000"/>
                <w:sz w:val="26"/>
                <w:szCs w:val="26"/>
                <w:lang w:val="vi-VN"/>
              </w:rPr>
              <w:t>ng đề ngh</w:t>
            </w:r>
            <w:r w:rsidRPr="005B1CED">
              <w:rPr>
                <w:b/>
                <w:bCs/>
                <w:color w:val="000000"/>
                <w:sz w:val="26"/>
                <w:szCs w:val="26"/>
              </w:rPr>
              <w:t>ị</w:t>
            </w:r>
            <w:r w:rsidRPr="005B1CED">
              <w:rPr>
                <w:b/>
                <w:bCs/>
                <w:color w:val="000000"/>
                <w:sz w:val="26"/>
                <w:szCs w:val="26"/>
                <w:lang w:val="vi-VN"/>
              </w:rPr>
              <w:t> (%)</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b/>
                <w:bCs/>
                <w:color w:val="000000"/>
                <w:sz w:val="26"/>
                <w:szCs w:val="26"/>
                <w:lang w:val="vi-VN"/>
              </w:rPr>
              <w:t>...</w:t>
            </w:r>
          </w:p>
        </w:tc>
      </w:tr>
      <w:tr w:rsidR="005B1CED" w:rsidRPr="005B1CED"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rPr>
              <w:t>(1</w:t>
            </w:r>
            <w:r w:rsidRPr="005B1CED">
              <w:rPr>
                <w:color w:val="000000"/>
                <w:sz w:val="26"/>
                <w:szCs w:val="26"/>
                <w:lang w:val="vi-VN"/>
              </w:rPr>
              <w:t>)</w:t>
            </w:r>
          </w:p>
        </w:tc>
        <w:tc>
          <w:tcPr>
            <w:tcW w:w="75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(2)</w:t>
            </w:r>
          </w:p>
        </w:tc>
        <w:tc>
          <w:tcPr>
            <w:tcW w:w="60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(3)</w:t>
            </w:r>
          </w:p>
        </w:tc>
        <w:tc>
          <w:tcPr>
            <w:tcW w:w="80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(4)</w:t>
            </w:r>
          </w:p>
        </w:tc>
        <w:tc>
          <w:tcPr>
            <w:tcW w:w="50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(5)</w:t>
            </w:r>
          </w:p>
        </w:tc>
        <w:tc>
          <w:tcPr>
            <w:tcW w:w="65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(6)</w:t>
            </w:r>
          </w:p>
        </w:tc>
        <w:tc>
          <w:tcPr>
            <w:tcW w:w="90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(7)</w:t>
            </w:r>
          </w:p>
        </w:tc>
        <w:tc>
          <w:tcPr>
            <w:tcW w:w="300" w:type="pct"/>
            <w:tcBorders>
              <w:top w:val="nil"/>
              <w:left w:val="nil"/>
              <w:bottom w:val="single" w:sz="8" w:space="0" w:color="auto"/>
              <w:right w:val="single" w:sz="8" w:space="0" w:color="auto"/>
            </w:tcBorders>
            <w:shd w:val="clear" w:color="auto" w:fill="FFFFFF"/>
            <w:vAlign w:val="bottom"/>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i/>
                <w:iCs/>
                <w:color w:val="000000"/>
                <w:sz w:val="26"/>
                <w:szCs w:val="26"/>
              </w:rPr>
              <w:t>…</w:t>
            </w:r>
          </w:p>
        </w:tc>
      </w:tr>
      <w:tr w:rsidR="005B1CED" w:rsidRPr="005B1CED"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Nguyễn Văn A</w:t>
            </w:r>
          </w:p>
        </w:tc>
        <w:tc>
          <w:tcPr>
            <w:tcW w:w="6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rPr>
                <w:color w:val="000000"/>
                <w:sz w:val="26"/>
                <w:szCs w:val="26"/>
              </w:rPr>
            </w:pPr>
            <w:r w:rsidRPr="005B1CED">
              <w:rPr>
                <w:color w:val="000000"/>
                <w:sz w:val="26"/>
                <w:szCs w:val="26"/>
                <w:lang w:val="vi-VN"/>
              </w:rPr>
              <w:t>Người khai</w:t>
            </w:r>
          </w:p>
        </w:tc>
        <w:tc>
          <w:tcPr>
            <w:tcW w:w="8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r>
      <w:tr w:rsidR="005B1CED" w:rsidRPr="005B1CED"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2</w:t>
            </w:r>
          </w:p>
        </w:tc>
        <w:tc>
          <w:tcPr>
            <w:tcW w:w="75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Nguyễn Thị B</w:t>
            </w:r>
          </w:p>
        </w:tc>
        <w:tc>
          <w:tcPr>
            <w:tcW w:w="6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rPr>
                <w:color w:val="000000"/>
                <w:sz w:val="26"/>
                <w:szCs w:val="26"/>
              </w:rPr>
            </w:pPr>
            <w:r w:rsidRPr="005B1CED">
              <w:rPr>
                <w:color w:val="000000"/>
                <w:sz w:val="26"/>
                <w:szCs w:val="26"/>
                <w:lang w:val="vi-VN"/>
              </w:rPr>
              <w:t>Vợ</w:t>
            </w:r>
          </w:p>
        </w:tc>
        <w:tc>
          <w:tcPr>
            <w:tcW w:w="8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r>
      <w:tr w:rsidR="005B1CED" w:rsidRPr="005B1CED" w:rsidTr="005B1CED">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rPr>
              <w:t>…</w:t>
            </w:r>
          </w:p>
        </w:tc>
        <w:tc>
          <w:tcPr>
            <w:tcW w:w="75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r>
    </w:tbl>
    <w:p w:rsidR="002125FB" w:rsidRDefault="002125FB" w:rsidP="005B1CED">
      <w:pPr>
        <w:pStyle w:val="NormalWeb"/>
        <w:shd w:val="clear" w:color="auto" w:fill="FFFFFF"/>
        <w:spacing w:before="120" w:beforeAutospacing="0" w:after="120" w:afterAutospacing="0" w:line="195" w:lineRule="atLeast"/>
        <w:rPr>
          <w:color w:val="000000"/>
          <w:sz w:val="26"/>
          <w:szCs w:val="26"/>
        </w:rPr>
      </w:pPr>
    </w:p>
    <w:p w:rsidR="005B1CED" w:rsidRPr="005B1CED" w:rsidRDefault="005B1CED" w:rsidP="005B1CED">
      <w:pPr>
        <w:pStyle w:val="NormalWeb"/>
        <w:shd w:val="clear" w:color="auto" w:fill="FFFFFF"/>
        <w:spacing w:before="120" w:beforeAutospacing="0" w:after="120" w:afterAutospacing="0" w:line="195" w:lineRule="atLeast"/>
        <w:rPr>
          <w:color w:val="000000"/>
          <w:sz w:val="26"/>
          <w:szCs w:val="26"/>
        </w:rPr>
      </w:pPr>
      <w:r w:rsidRPr="005B1CED">
        <w:rPr>
          <w:color w:val="000000"/>
          <w:sz w:val="26"/>
          <w:szCs w:val="26"/>
          <w:lang w:val="vi-VN"/>
        </w:rPr>
        <w:t>Tôi cam kết các thông tin cung cấp trên đây là đúng sự thật. Tôi xin chịu trách nhiệm trước pháp luật về tính đầy đủ, trung thực, chính xác của các thông tin kê khai nêu trên.</w:t>
      </w:r>
    </w:p>
    <w:tbl>
      <w:tblPr>
        <w:tblW w:w="0" w:type="auto"/>
        <w:tblCellSpacing w:w="0" w:type="dxa"/>
        <w:shd w:val="clear" w:color="auto" w:fill="FFFFFF"/>
        <w:tblCellMar>
          <w:left w:w="0" w:type="dxa"/>
          <w:right w:w="0" w:type="dxa"/>
        </w:tblCellMar>
        <w:tblLook w:val="04A0"/>
      </w:tblPr>
      <w:tblGrid>
        <w:gridCol w:w="4428"/>
        <w:gridCol w:w="4428"/>
      </w:tblGrid>
      <w:tr w:rsidR="005B1CED" w:rsidRPr="005B1CED" w:rsidTr="005B1CED">
        <w:trPr>
          <w:tblCellSpacing w:w="0" w:type="dxa"/>
        </w:trPr>
        <w:tc>
          <w:tcPr>
            <w:tcW w:w="4428" w:type="dxa"/>
            <w:shd w:val="clear" w:color="auto" w:fill="FFFFFF"/>
            <w:tcMar>
              <w:top w:w="0" w:type="dxa"/>
              <w:left w:w="108" w:type="dxa"/>
              <w:bottom w:w="0" w:type="dxa"/>
              <w:right w:w="108" w:type="dxa"/>
            </w:tcMar>
            <w:hideMark/>
          </w:tcPr>
          <w:p w:rsidR="005B1CED" w:rsidRPr="005B1CED" w:rsidRDefault="005B1CED">
            <w:pPr>
              <w:pStyle w:val="NormalWeb"/>
              <w:spacing w:before="120" w:beforeAutospacing="0" w:after="120" w:afterAutospacing="0" w:line="195" w:lineRule="atLeast"/>
              <w:jc w:val="center"/>
              <w:rPr>
                <w:color w:val="000000"/>
                <w:sz w:val="26"/>
                <w:szCs w:val="26"/>
              </w:rPr>
            </w:pPr>
            <w:r w:rsidRPr="005B1CED">
              <w:rPr>
                <w:color w:val="000000"/>
                <w:sz w:val="26"/>
                <w:szCs w:val="26"/>
                <w:lang w:val="vi-VN"/>
              </w:rPr>
              <w:t> </w:t>
            </w:r>
          </w:p>
        </w:tc>
        <w:tc>
          <w:tcPr>
            <w:tcW w:w="4428" w:type="dxa"/>
            <w:shd w:val="clear" w:color="auto" w:fill="FFFFFF"/>
            <w:tcMar>
              <w:top w:w="0" w:type="dxa"/>
              <w:left w:w="108" w:type="dxa"/>
              <w:bottom w:w="0" w:type="dxa"/>
              <w:right w:w="108" w:type="dxa"/>
            </w:tcMar>
            <w:hideMark/>
          </w:tcPr>
          <w:p w:rsidR="005B1CED" w:rsidRPr="005B1CED" w:rsidRDefault="00B17661" w:rsidP="00B17661">
            <w:pPr>
              <w:pStyle w:val="NormalWeb"/>
              <w:spacing w:before="120" w:beforeAutospacing="0" w:after="120" w:afterAutospacing="0" w:line="195" w:lineRule="atLeast"/>
              <w:jc w:val="center"/>
              <w:rPr>
                <w:color w:val="000000"/>
                <w:sz w:val="26"/>
                <w:szCs w:val="26"/>
              </w:rPr>
            </w:pPr>
            <w:r>
              <w:rPr>
                <w:i/>
                <w:iCs/>
                <w:color w:val="000000"/>
                <w:sz w:val="26"/>
                <w:szCs w:val="26"/>
              </w:rPr>
              <w:t xml:space="preserve">                                                             </w:t>
            </w:r>
            <w:r w:rsidR="005B1CED" w:rsidRPr="005B1CED">
              <w:rPr>
                <w:i/>
                <w:iCs/>
                <w:color w:val="000000"/>
                <w:sz w:val="26"/>
                <w:szCs w:val="26"/>
              </w:rPr>
              <w:t>….., </w:t>
            </w:r>
            <w:r w:rsidR="005B1CED" w:rsidRPr="005B1CED">
              <w:rPr>
                <w:i/>
                <w:iCs/>
                <w:color w:val="000000"/>
                <w:sz w:val="26"/>
                <w:szCs w:val="26"/>
                <w:lang w:val="vi-VN"/>
              </w:rPr>
              <w:t>ngày ... tháng ... năm</w:t>
            </w:r>
            <w:r w:rsidR="005B1CED" w:rsidRPr="005B1CED">
              <w:rPr>
                <w:i/>
                <w:iCs/>
                <w:color w:val="000000"/>
                <w:sz w:val="26"/>
                <w:szCs w:val="26"/>
              </w:rPr>
              <w:br/>
            </w:r>
            <w:r w:rsidR="005B1CED" w:rsidRPr="005B1CED">
              <w:rPr>
                <w:b/>
                <w:bCs/>
                <w:color w:val="000000"/>
                <w:sz w:val="26"/>
                <w:szCs w:val="26"/>
                <w:lang w:val="vi-VN"/>
              </w:rPr>
              <w:t>Người khai</w:t>
            </w:r>
            <w:r w:rsidR="005B1CED" w:rsidRPr="005B1CED">
              <w:rPr>
                <w:color w:val="000000"/>
                <w:sz w:val="26"/>
                <w:szCs w:val="26"/>
              </w:rPr>
              <w:br/>
            </w:r>
            <w:r w:rsidR="005B1CED" w:rsidRPr="005B1CED">
              <w:rPr>
                <w:i/>
                <w:iCs/>
                <w:color w:val="000000"/>
                <w:sz w:val="26"/>
                <w:szCs w:val="26"/>
                <w:lang w:val="vi-VN"/>
              </w:rPr>
              <w:t>(Ký, ghi rõ họ tên)</w:t>
            </w:r>
          </w:p>
          <w:p w:rsidR="002125FB" w:rsidRPr="002125FB" w:rsidRDefault="005B1CED" w:rsidP="002125FB">
            <w:pPr>
              <w:pStyle w:val="NormalWeb"/>
              <w:spacing w:before="120" w:beforeAutospacing="0" w:after="120" w:afterAutospacing="0" w:line="195" w:lineRule="atLeast"/>
              <w:jc w:val="center"/>
              <w:rPr>
                <w:color w:val="000000"/>
                <w:sz w:val="36"/>
                <w:szCs w:val="26"/>
              </w:rPr>
            </w:pPr>
            <w:r w:rsidRPr="005B1CED">
              <w:rPr>
                <w:color w:val="000000"/>
                <w:sz w:val="26"/>
                <w:szCs w:val="26"/>
              </w:rPr>
              <w:t> </w:t>
            </w:r>
          </w:p>
          <w:p w:rsidR="002125FB" w:rsidRPr="002125FB" w:rsidRDefault="002125FB" w:rsidP="002125FB">
            <w:pPr>
              <w:pStyle w:val="NormalWeb"/>
              <w:spacing w:before="120" w:beforeAutospacing="0" w:after="120" w:afterAutospacing="0" w:line="195" w:lineRule="atLeast"/>
              <w:rPr>
                <w:color w:val="000000"/>
                <w:sz w:val="40"/>
                <w:szCs w:val="26"/>
              </w:rPr>
            </w:pPr>
          </w:p>
          <w:p w:rsidR="005B1CED" w:rsidRPr="00B17661" w:rsidRDefault="005B1CED">
            <w:pPr>
              <w:pStyle w:val="NormalWeb"/>
              <w:spacing w:before="120" w:beforeAutospacing="0" w:after="120" w:afterAutospacing="0" w:line="195" w:lineRule="atLeast"/>
              <w:jc w:val="center"/>
              <w:rPr>
                <w:b/>
                <w:color w:val="000000"/>
                <w:sz w:val="26"/>
                <w:szCs w:val="26"/>
              </w:rPr>
            </w:pPr>
            <w:r w:rsidRPr="00B17661">
              <w:rPr>
                <w:b/>
                <w:color w:val="000000"/>
                <w:sz w:val="26"/>
                <w:szCs w:val="26"/>
                <w:lang w:val="vi-VN"/>
              </w:rPr>
              <w:t>(Chứng thực chữ ký người khai)</w:t>
            </w:r>
          </w:p>
        </w:tc>
      </w:tr>
    </w:tbl>
    <w:p w:rsidR="005B1CED" w:rsidRPr="00B17661" w:rsidRDefault="005B1CED" w:rsidP="005B1CED">
      <w:pPr>
        <w:pStyle w:val="NormalWeb"/>
        <w:shd w:val="clear" w:color="auto" w:fill="FFFFFF"/>
        <w:spacing w:before="120" w:beforeAutospacing="0" w:after="120" w:afterAutospacing="0" w:line="195" w:lineRule="atLeast"/>
        <w:rPr>
          <w:color w:val="000000"/>
          <w:sz w:val="22"/>
          <w:szCs w:val="26"/>
        </w:rPr>
      </w:pPr>
      <w:r w:rsidRPr="00B17661">
        <w:rPr>
          <w:b/>
          <w:bCs/>
          <w:color w:val="000000"/>
          <w:sz w:val="22"/>
          <w:szCs w:val="26"/>
          <w:lang w:val="vi-VN"/>
        </w:rPr>
        <w:t>Ghi chú:</w:t>
      </w:r>
    </w:p>
    <w:p w:rsidR="005B1CED" w:rsidRPr="002125FB" w:rsidRDefault="005B1CED" w:rsidP="005B1CED">
      <w:pPr>
        <w:pStyle w:val="NormalWeb"/>
        <w:shd w:val="clear" w:color="auto" w:fill="FFFFFF"/>
        <w:spacing w:before="120" w:beforeAutospacing="0" w:after="120" w:afterAutospacing="0" w:line="195" w:lineRule="atLeast"/>
        <w:rPr>
          <w:i/>
          <w:iCs/>
          <w:color w:val="000000"/>
          <w:sz w:val="20"/>
          <w:szCs w:val="20"/>
        </w:rPr>
      </w:pPr>
      <w:r w:rsidRPr="002125FB">
        <w:rPr>
          <w:i/>
          <w:iCs/>
          <w:color w:val="000000"/>
          <w:sz w:val="20"/>
          <w:szCs w:val="20"/>
          <w:lang w:val="vi-VN"/>
        </w:rPr>
        <w:t>- Đối với phần kê khai người có liên quan tại cột (3): Căn cứ mối quan hệ thực tế của người c</w:t>
      </w:r>
      <w:r w:rsidRPr="002125FB">
        <w:rPr>
          <w:i/>
          <w:iCs/>
          <w:color w:val="000000"/>
          <w:sz w:val="20"/>
          <w:szCs w:val="20"/>
        </w:rPr>
        <w:t>ó</w:t>
      </w:r>
      <w:r w:rsidRPr="002125FB">
        <w:rPr>
          <w:i/>
          <w:iCs/>
          <w:color w:val="000000"/>
          <w:sz w:val="20"/>
          <w:szCs w:val="20"/>
          <w:lang w:val="vi-VN"/>
        </w:rPr>
        <w:t> liên quan tại cột (2) thuộc trường hợp cụ thể theo quy định tại khoản 28 Điều 4, khoản 2 Điều 62 Luật Các tổ chức tín dụng và quy định có liên quan để đi</w:t>
      </w:r>
      <w:r w:rsidRPr="002125FB">
        <w:rPr>
          <w:i/>
          <w:iCs/>
          <w:color w:val="000000"/>
          <w:sz w:val="20"/>
          <w:szCs w:val="20"/>
        </w:rPr>
        <w:t>ề</w:t>
      </w:r>
      <w:r w:rsidRPr="002125FB">
        <w:rPr>
          <w:i/>
          <w:iCs/>
          <w:color w:val="000000"/>
          <w:sz w:val="20"/>
          <w:szCs w:val="20"/>
          <w:lang w:val="vi-VN"/>
        </w:rPr>
        <w:t>n vào cột này.</w:t>
      </w:r>
      <w:r w:rsidR="002125FB" w:rsidRPr="002125FB">
        <w:rPr>
          <w:i/>
          <w:iCs/>
          <w:color w:val="000000"/>
          <w:sz w:val="20"/>
          <w:szCs w:val="20"/>
        </w:rPr>
        <w:t>Cụ thể như sau:</w:t>
      </w:r>
    </w:p>
    <w:p w:rsidR="002125FB" w:rsidRPr="002125FB" w:rsidRDefault="002125FB" w:rsidP="002125FB">
      <w:pPr>
        <w:pStyle w:val="NormalWeb"/>
        <w:spacing w:before="75" w:beforeAutospacing="0" w:after="75" w:afterAutospacing="0"/>
        <w:jc w:val="both"/>
        <w:rPr>
          <w:color w:val="000000"/>
          <w:sz w:val="20"/>
          <w:szCs w:val="20"/>
        </w:rPr>
      </w:pPr>
      <w:r w:rsidRPr="002125FB">
        <w:rPr>
          <w:i/>
          <w:iCs/>
          <w:color w:val="000000"/>
          <w:sz w:val="20"/>
          <w:szCs w:val="20"/>
        </w:rPr>
        <w:t>* Q</w:t>
      </w:r>
      <w:r w:rsidRPr="002125FB">
        <w:rPr>
          <w:i/>
          <w:iCs/>
          <w:color w:val="000000"/>
          <w:sz w:val="20"/>
          <w:szCs w:val="20"/>
          <w:lang w:val="vi-VN"/>
        </w:rPr>
        <w:t>uy định tại khoản 28 Điều 4 Luật Các tổ chức tín dụng</w:t>
      </w:r>
      <w:r w:rsidRPr="002125FB">
        <w:rPr>
          <w:i/>
          <w:iCs/>
          <w:color w:val="000000"/>
          <w:sz w:val="20"/>
          <w:szCs w:val="20"/>
        </w:rPr>
        <w:t>: Người có liên quan</w:t>
      </w:r>
      <w:r w:rsidRPr="002125FB">
        <w:rPr>
          <w:b/>
          <w:bCs/>
          <w:color w:val="000000"/>
          <w:sz w:val="20"/>
          <w:szCs w:val="20"/>
        </w:rPr>
        <w:t> </w:t>
      </w:r>
      <w:r w:rsidRPr="002125FB">
        <w:rPr>
          <w:color w:val="000000"/>
          <w:sz w:val="20"/>
          <w:szCs w:val="20"/>
        </w:rPr>
        <w:t>là tổ chức, cá nhân có quan hệ trực tiếp hoặc gián tiếp với tổ chức, cá nhân khác thuộc một trong các trường hợp sau đây:</w:t>
      </w:r>
    </w:p>
    <w:p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a) Công ty mẹ với công ty con và ngược lại; tổ chức tín dụng với công ty con của tổ chức tín dụng và ngược lại; các công ty con của cùng một công ty mẹ hoặc của cùng một tổ chức tín dụng với nhau; người quản lý, thành viên Ban kiểm soát của công ty mẹ hoặc của tổ chức tín dụng, cá nhân hoặc tổ chức có thẩm quyền bổ nhiệm những người này với công ty con và ngược lại;</w:t>
      </w:r>
    </w:p>
    <w:p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c) Công ty hoặc tổ chức tín dụng với tổ chức, cá nhân sở hữu từ 5% vốn điều lệ hoặc vốn cổ phần có quyền biểu quyết trở lên tại công ty hoặc tổ chức tín dụng đó và ngược lại;</w:t>
      </w:r>
    </w:p>
    <w:p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d) Cá nhân với vợ, chồng, cha, mẹ, con, anh, chị, em của người này;</w:t>
      </w:r>
    </w:p>
    <w:p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2125FB" w:rsidRPr="002125FB" w:rsidRDefault="002125FB" w:rsidP="002125FB">
      <w:pPr>
        <w:pStyle w:val="NormalWeb"/>
        <w:spacing w:before="75" w:beforeAutospacing="0" w:after="75" w:afterAutospacing="0"/>
        <w:jc w:val="both"/>
        <w:rPr>
          <w:color w:val="000000"/>
          <w:sz w:val="20"/>
          <w:szCs w:val="20"/>
        </w:rPr>
      </w:pPr>
      <w:r w:rsidRPr="002125FB">
        <w:rPr>
          <w:color w:val="000000"/>
          <w:sz w:val="20"/>
          <w:szCs w:val="20"/>
        </w:rPr>
        <w:t>e)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2125FB" w:rsidRPr="002125FB" w:rsidRDefault="002125FB" w:rsidP="005B1CED">
      <w:pPr>
        <w:pStyle w:val="NormalWeb"/>
        <w:shd w:val="clear" w:color="auto" w:fill="FFFFFF"/>
        <w:spacing w:before="120" w:beforeAutospacing="0" w:after="120" w:afterAutospacing="0" w:line="195" w:lineRule="atLeast"/>
        <w:rPr>
          <w:b/>
          <w:bCs/>
          <w:color w:val="000000"/>
          <w:sz w:val="20"/>
          <w:szCs w:val="20"/>
        </w:rPr>
      </w:pPr>
      <w:r w:rsidRPr="002125FB">
        <w:rPr>
          <w:b/>
          <w:bCs/>
          <w:color w:val="000000"/>
          <w:sz w:val="20"/>
          <w:szCs w:val="20"/>
        </w:rPr>
        <w:t>* Quy định tại Khoản 2 Điều 62</w:t>
      </w:r>
      <w:r w:rsidRPr="002125FB">
        <w:rPr>
          <w:i/>
          <w:iCs/>
          <w:color w:val="000000"/>
          <w:sz w:val="20"/>
          <w:szCs w:val="20"/>
          <w:lang w:val="vi-VN"/>
        </w:rPr>
        <w:t xml:space="preserve"> Luật Các tổ chức tín dụng</w:t>
      </w:r>
      <w:r w:rsidRPr="002125FB">
        <w:rPr>
          <w:i/>
          <w:iCs/>
          <w:color w:val="000000"/>
          <w:sz w:val="20"/>
          <w:szCs w:val="20"/>
        </w:rPr>
        <w:t>:</w:t>
      </w:r>
      <w:r w:rsidRPr="002125FB">
        <w:rPr>
          <w:b/>
          <w:bCs/>
          <w:color w:val="000000"/>
          <w:sz w:val="20"/>
          <w:szCs w:val="20"/>
        </w:rPr>
        <w:t> </w:t>
      </w:r>
    </w:p>
    <w:p w:rsidR="002125FB" w:rsidRPr="002125FB" w:rsidRDefault="002125FB" w:rsidP="005B1CED">
      <w:pPr>
        <w:pStyle w:val="NormalWeb"/>
        <w:shd w:val="clear" w:color="auto" w:fill="FFFFFF"/>
        <w:spacing w:before="120" w:beforeAutospacing="0" w:after="120" w:afterAutospacing="0" w:line="195" w:lineRule="atLeast"/>
        <w:rPr>
          <w:color w:val="000000"/>
          <w:sz w:val="20"/>
          <w:szCs w:val="20"/>
        </w:rPr>
      </w:pPr>
      <w:r w:rsidRPr="002125FB">
        <w:rPr>
          <w:color w:val="000000"/>
          <w:sz w:val="20"/>
          <w:szCs w:val="20"/>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một phần ba tổng số thành viên Hội đồng quản trị của một tổ chức tín dụng là công ty cổ phần, trừ trường hợp là người đại diện phần vốn góp của Nhà nước.</w:t>
      </w:r>
    </w:p>
    <w:p w:rsidR="005B1CED" w:rsidRPr="00B17661" w:rsidRDefault="005B1CED" w:rsidP="005B1CED">
      <w:pPr>
        <w:pStyle w:val="NormalWeb"/>
        <w:shd w:val="clear" w:color="auto" w:fill="FFFFFF"/>
        <w:spacing w:before="120" w:beforeAutospacing="0" w:after="120" w:afterAutospacing="0" w:line="195" w:lineRule="atLeast"/>
        <w:rPr>
          <w:color w:val="000000"/>
          <w:sz w:val="22"/>
          <w:szCs w:val="26"/>
        </w:rPr>
      </w:pPr>
      <w:r w:rsidRPr="00B17661">
        <w:rPr>
          <w:b/>
          <w:bCs/>
          <w:i/>
          <w:iCs/>
          <w:color w:val="000000"/>
          <w:sz w:val="22"/>
          <w:szCs w:val="26"/>
          <w:lang w:val="vi-VN"/>
        </w:rPr>
        <w:t>(Ngoài những nội dung tối thiểu nêu trên, người khai có thể bổ sung các nội dung khác nếu thấy cần thi</w:t>
      </w:r>
      <w:r w:rsidRPr="00B17661">
        <w:rPr>
          <w:b/>
          <w:bCs/>
          <w:i/>
          <w:iCs/>
          <w:color w:val="000000"/>
          <w:sz w:val="22"/>
          <w:szCs w:val="26"/>
        </w:rPr>
        <w:t>ế</w:t>
      </w:r>
      <w:r w:rsidRPr="00B17661">
        <w:rPr>
          <w:b/>
          <w:bCs/>
          <w:i/>
          <w:iCs/>
          <w:color w:val="000000"/>
          <w:sz w:val="22"/>
          <w:szCs w:val="26"/>
          <w:lang w:val="vi-VN"/>
        </w:rPr>
        <w:t>t)</w:t>
      </w:r>
    </w:p>
    <w:p w:rsidR="00EC578A" w:rsidRPr="005B1CED" w:rsidRDefault="005B1CED" w:rsidP="00EC578A">
      <w:pPr>
        <w:jc w:val="right"/>
        <w:rPr>
          <w:rFonts w:ascii="Times New Roman" w:hAnsi="Times New Roman" w:cs="Times New Roman"/>
          <w:sz w:val="26"/>
          <w:szCs w:val="26"/>
        </w:rPr>
      </w:pPr>
      <w:r w:rsidRPr="005B1CED" w:rsidDel="005B1CED">
        <w:rPr>
          <w:rFonts w:ascii="Times New Roman" w:hAnsi="Times New Roman" w:cs="Times New Roman"/>
          <w:b/>
          <w:sz w:val="26"/>
          <w:szCs w:val="26"/>
        </w:rPr>
        <w:lastRenderedPageBreak/>
        <w:t xml:space="preserve"> </w:t>
      </w:r>
    </w:p>
    <w:sectPr w:rsidR="00EC578A" w:rsidRPr="005B1CED" w:rsidSect="00B17661">
      <w:footerReference w:type="default" r:id="rId7"/>
      <w:pgSz w:w="15840" w:h="12240" w:orient="landscape"/>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BA5" w:rsidRDefault="00CD3BA5" w:rsidP="000E2F20">
      <w:pPr>
        <w:spacing w:after="0" w:line="240" w:lineRule="auto"/>
      </w:pPr>
      <w:r>
        <w:separator/>
      </w:r>
    </w:p>
  </w:endnote>
  <w:endnote w:type="continuationSeparator" w:id="1">
    <w:p w:rsidR="00CD3BA5" w:rsidRDefault="00CD3BA5" w:rsidP="000E2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393811"/>
      <w:docPartObj>
        <w:docPartGallery w:val="Page Numbers (Bottom of Page)"/>
        <w:docPartUnique/>
      </w:docPartObj>
    </w:sdtPr>
    <w:sdtContent>
      <w:p w:rsidR="002125FB" w:rsidRDefault="002125FB">
        <w:pPr>
          <w:pStyle w:val="Footer"/>
          <w:jc w:val="right"/>
        </w:pPr>
        <w:fldSimple w:instr=" PAGE   \* MERGEFORMAT ">
          <w:r>
            <w:rPr>
              <w:noProof/>
            </w:rPr>
            <w:t>2</w:t>
          </w:r>
        </w:fldSimple>
      </w:p>
    </w:sdtContent>
  </w:sdt>
  <w:p w:rsidR="002125FB" w:rsidRDefault="00212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BA5" w:rsidRDefault="00CD3BA5" w:rsidP="000E2F20">
      <w:pPr>
        <w:spacing w:after="0" w:line="240" w:lineRule="auto"/>
      </w:pPr>
      <w:r>
        <w:separator/>
      </w:r>
    </w:p>
  </w:footnote>
  <w:footnote w:type="continuationSeparator" w:id="1">
    <w:p w:rsidR="00CD3BA5" w:rsidRDefault="00CD3BA5" w:rsidP="000E2F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578A"/>
    <w:rsid w:val="00001144"/>
    <w:rsid w:val="00012BD4"/>
    <w:rsid w:val="000845B1"/>
    <w:rsid w:val="000E2F20"/>
    <w:rsid w:val="002125FB"/>
    <w:rsid w:val="003B733A"/>
    <w:rsid w:val="004D0FD0"/>
    <w:rsid w:val="00552C0F"/>
    <w:rsid w:val="005837C7"/>
    <w:rsid w:val="0059341F"/>
    <w:rsid w:val="005B1CED"/>
    <w:rsid w:val="005F4405"/>
    <w:rsid w:val="00682897"/>
    <w:rsid w:val="006B3284"/>
    <w:rsid w:val="007552CD"/>
    <w:rsid w:val="00874CAB"/>
    <w:rsid w:val="00971CA1"/>
    <w:rsid w:val="00B17661"/>
    <w:rsid w:val="00CD3BA5"/>
    <w:rsid w:val="00CD7AD8"/>
    <w:rsid w:val="00E409ED"/>
    <w:rsid w:val="00E455CA"/>
    <w:rsid w:val="00E56886"/>
    <w:rsid w:val="00E74DD7"/>
    <w:rsid w:val="00EC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7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FD0"/>
    <w:rPr>
      <w:rFonts w:ascii="Tahoma" w:hAnsi="Tahoma" w:cs="Tahoma"/>
      <w:sz w:val="16"/>
      <w:szCs w:val="16"/>
    </w:rPr>
  </w:style>
  <w:style w:type="paragraph" w:styleId="FootnoteText">
    <w:name w:val="footnote text"/>
    <w:basedOn w:val="Normal"/>
    <w:link w:val="FootnoteTextChar"/>
    <w:uiPriority w:val="99"/>
    <w:semiHidden/>
    <w:unhideWhenUsed/>
    <w:rsid w:val="000E2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2F20"/>
    <w:rPr>
      <w:sz w:val="20"/>
      <w:szCs w:val="20"/>
    </w:rPr>
  </w:style>
  <w:style w:type="character" w:styleId="FootnoteReference">
    <w:name w:val="footnote reference"/>
    <w:basedOn w:val="DefaultParagraphFont"/>
    <w:uiPriority w:val="99"/>
    <w:semiHidden/>
    <w:unhideWhenUsed/>
    <w:rsid w:val="000E2F20"/>
    <w:rPr>
      <w:vertAlign w:val="superscript"/>
    </w:rPr>
  </w:style>
  <w:style w:type="paragraph" w:styleId="NormalWeb">
    <w:name w:val="Normal (Web)"/>
    <w:basedOn w:val="Normal"/>
    <w:uiPriority w:val="99"/>
    <w:unhideWhenUsed/>
    <w:rsid w:val="005B1C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125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5FB"/>
  </w:style>
  <w:style w:type="paragraph" w:styleId="Footer">
    <w:name w:val="footer"/>
    <w:basedOn w:val="Normal"/>
    <w:link w:val="FooterChar"/>
    <w:uiPriority w:val="99"/>
    <w:unhideWhenUsed/>
    <w:rsid w:val="0021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FB"/>
  </w:style>
</w:styles>
</file>

<file path=word/webSettings.xml><?xml version="1.0" encoding="utf-8"?>
<w:webSettings xmlns:r="http://schemas.openxmlformats.org/officeDocument/2006/relationships" xmlns:w="http://schemas.openxmlformats.org/wordprocessingml/2006/main">
  <w:divs>
    <w:div w:id="210970022">
      <w:bodyDiv w:val="1"/>
      <w:marLeft w:val="0"/>
      <w:marRight w:val="0"/>
      <w:marTop w:val="0"/>
      <w:marBottom w:val="0"/>
      <w:divBdr>
        <w:top w:val="none" w:sz="0" w:space="0" w:color="auto"/>
        <w:left w:val="none" w:sz="0" w:space="0" w:color="auto"/>
        <w:bottom w:val="none" w:sz="0" w:space="0" w:color="auto"/>
        <w:right w:val="none" w:sz="0" w:space="0" w:color="auto"/>
      </w:divBdr>
    </w:div>
    <w:div w:id="5603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A013-1BFD-4C93-B9FC-205C50D0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anhltm</dc:creator>
  <cp:keywords/>
  <dc:description/>
  <cp:lastModifiedBy>huongpm</cp:lastModifiedBy>
  <cp:revision>21</cp:revision>
  <cp:lastPrinted>2018-01-30T04:16:00Z</cp:lastPrinted>
  <dcterms:created xsi:type="dcterms:W3CDTF">2012-03-24T02:51:00Z</dcterms:created>
  <dcterms:modified xsi:type="dcterms:W3CDTF">2020-01-14T04:15:00Z</dcterms:modified>
</cp:coreProperties>
</file>