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60" w:type="dxa"/>
        <w:tblInd w:w="-162"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tblPr>
      <w:tblGrid>
        <w:gridCol w:w="5220"/>
        <w:gridCol w:w="5040"/>
      </w:tblGrid>
      <w:tr w:rsidR="00992805" w:rsidRPr="00992805" w:rsidTr="00940976">
        <w:tc>
          <w:tcPr>
            <w:tcW w:w="5220" w:type="dxa"/>
            <w:tcBorders>
              <w:right w:val="nil"/>
            </w:tcBorders>
          </w:tcPr>
          <w:p w:rsidR="00992805" w:rsidRPr="00992805" w:rsidRDefault="00E125F3">
            <w:pPr>
              <w:rPr>
                <w:rFonts w:ascii="Times New Roman" w:hAnsi="Times New Roman" w:cs="Times New Roman"/>
                <w:sz w:val="26"/>
                <w:szCs w:val="26"/>
              </w:rPr>
            </w:pPr>
            <w:r>
              <w:rPr>
                <w:rFonts w:ascii="Tahoma" w:hAnsi="Tahoma" w:cs="Tahoma"/>
                <w:b/>
                <w:noProof/>
                <w:color w:val="000099"/>
                <w:sz w:val="24"/>
                <w:szCs w:val="24"/>
              </w:rPr>
              <w:drawing>
                <wp:inline distT="0" distB="0" distL="0" distR="0">
                  <wp:extent cx="2857500" cy="1104900"/>
                  <wp:effectExtent l="0" t="0" r="0" b="0"/>
                  <wp:docPr id="3" name="Picture 5" descr="Logo doc (With Vietnam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oc (With Vietnamese).png"/>
                          <pic:cNvPicPr>
                            <a:picLocks noChangeAspect="1" noChangeArrowheads="1"/>
                          </pic:cNvPicPr>
                        </pic:nvPicPr>
                        <pic:blipFill>
                          <a:blip r:embed="rId8" cstate="print"/>
                          <a:srcRect/>
                          <a:stretch>
                            <a:fillRect/>
                          </a:stretch>
                        </pic:blipFill>
                        <pic:spPr bwMode="auto">
                          <a:xfrm>
                            <a:off x="0" y="0"/>
                            <a:ext cx="2866781" cy="1108488"/>
                          </a:xfrm>
                          <a:prstGeom prst="rect">
                            <a:avLst/>
                          </a:prstGeom>
                          <a:noFill/>
                          <a:ln w="9525">
                            <a:noFill/>
                            <a:miter lim="800000"/>
                            <a:headEnd/>
                            <a:tailEnd/>
                          </a:ln>
                        </pic:spPr>
                      </pic:pic>
                    </a:graphicData>
                  </a:graphic>
                </wp:inline>
              </w:drawing>
            </w:r>
          </w:p>
        </w:tc>
        <w:tc>
          <w:tcPr>
            <w:tcW w:w="5040" w:type="dxa"/>
            <w:tcBorders>
              <w:top w:val="nil"/>
              <w:left w:val="nil"/>
            </w:tcBorders>
          </w:tcPr>
          <w:p w:rsidR="00992805" w:rsidRPr="00992805" w:rsidRDefault="00992805" w:rsidP="00940976">
            <w:pPr>
              <w:jc w:val="right"/>
              <w:rPr>
                <w:rFonts w:ascii="Times New Roman" w:hAnsi="Times New Roman" w:cs="Times New Roman"/>
                <w:b/>
                <w:sz w:val="26"/>
                <w:szCs w:val="26"/>
              </w:rPr>
            </w:pPr>
            <w:r>
              <w:rPr>
                <w:rFonts w:ascii="Times New Roman" w:hAnsi="Times New Roman" w:cs="Times New Roman"/>
                <w:sz w:val="26"/>
                <w:szCs w:val="26"/>
              </w:rPr>
              <w:t xml:space="preserve">                    </w:t>
            </w:r>
            <w:r w:rsidR="009409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92805">
              <w:rPr>
                <w:rFonts w:ascii="Times New Roman" w:hAnsi="Times New Roman" w:cs="Times New Roman"/>
                <w:b/>
                <w:sz w:val="26"/>
                <w:szCs w:val="26"/>
              </w:rPr>
              <w:t>TRỤ SỞ CHÍNH</w:t>
            </w:r>
          </w:p>
          <w:p w:rsidR="00992805" w:rsidRDefault="00992805" w:rsidP="00940976">
            <w:pPr>
              <w:jc w:val="right"/>
              <w:rPr>
                <w:rFonts w:ascii="Times New Roman" w:hAnsi="Times New Roman"/>
                <w:bCs/>
                <w:sz w:val="26"/>
                <w:szCs w:val="26"/>
              </w:rPr>
            </w:pPr>
            <w:r w:rsidRPr="00992805">
              <w:rPr>
                <w:rFonts w:ascii="Times New Roman" w:hAnsi="Times New Roman"/>
                <w:bCs/>
                <w:sz w:val="26"/>
                <w:szCs w:val="26"/>
              </w:rPr>
              <w:t>Tầng 14, 15 và 16 Tháp B, tòa nhà EVN,</w:t>
            </w:r>
          </w:p>
          <w:p w:rsidR="00992805" w:rsidRPr="00992805" w:rsidRDefault="00940976" w:rsidP="00940976">
            <w:pPr>
              <w:jc w:val="right"/>
              <w:rPr>
                <w:rFonts w:ascii="Times New Roman" w:hAnsi="Times New Roman"/>
                <w:bCs/>
                <w:sz w:val="26"/>
                <w:szCs w:val="26"/>
              </w:rPr>
            </w:pPr>
            <w:r>
              <w:rPr>
                <w:rFonts w:ascii="Times New Roman" w:hAnsi="Times New Roman"/>
                <w:bCs/>
                <w:sz w:val="26"/>
                <w:szCs w:val="26"/>
              </w:rPr>
              <w:t>S</w:t>
            </w:r>
            <w:r w:rsidR="00992805" w:rsidRPr="00992805">
              <w:rPr>
                <w:rFonts w:ascii="Times New Roman" w:hAnsi="Times New Roman"/>
                <w:bCs/>
                <w:sz w:val="26"/>
                <w:szCs w:val="26"/>
              </w:rPr>
              <w:t>ố 11 Cửa Bắc, Phường Trúc Bạch,</w:t>
            </w:r>
          </w:p>
          <w:p w:rsidR="00992805" w:rsidRPr="00992805" w:rsidRDefault="00992805" w:rsidP="00940976">
            <w:pPr>
              <w:jc w:val="right"/>
              <w:rPr>
                <w:rFonts w:ascii="Times New Roman" w:hAnsi="Times New Roman"/>
                <w:bCs/>
                <w:sz w:val="26"/>
                <w:szCs w:val="26"/>
              </w:rPr>
            </w:pPr>
            <w:r w:rsidRPr="00992805">
              <w:rPr>
                <w:rFonts w:ascii="Times New Roman" w:hAnsi="Times New Roman"/>
                <w:bCs/>
                <w:sz w:val="26"/>
                <w:szCs w:val="26"/>
              </w:rPr>
              <w:t xml:space="preserve"> Quận Ba Đình, Thành phố Hà Nội</w:t>
            </w:r>
          </w:p>
          <w:p w:rsidR="00992805" w:rsidRDefault="00992805" w:rsidP="00940976">
            <w:pPr>
              <w:jc w:val="right"/>
              <w:rPr>
                <w:rFonts w:ascii="Times New Roman" w:hAnsi="Times New Roman"/>
                <w:bCs/>
                <w:sz w:val="26"/>
                <w:szCs w:val="26"/>
              </w:rPr>
            </w:pPr>
            <w:r>
              <w:rPr>
                <w:rFonts w:ascii="Times New Roman" w:hAnsi="Times New Roman"/>
                <w:bCs/>
                <w:sz w:val="26"/>
                <w:szCs w:val="26"/>
              </w:rPr>
              <w:t xml:space="preserve">                    </w:t>
            </w:r>
            <w:r w:rsidR="00940976">
              <w:rPr>
                <w:rFonts w:ascii="Times New Roman" w:hAnsi="Times New Roman"/>
                <w:bCs/>
                <w:sz w:val="26"/>
                <w:szCs w:val="26"/>
              </w:rPr>
              <w:t xml:space="preserve">                      </w:t>
            </w:r>
            <w:r>
              <w:rPr>
                <w:rFonts w:ascii="Times New Roman" w:hAnsi="Times New Roman"/>
                <w:bCs/>
                <w:sz w:val="26"/>
                <w:szCs w:val="26"/>
              </w:rPr>
              <w:t>ĐT</w:t>
            </w:r>
            <w:r w:rsidRPr="00992805">
              <w:rPr>
                <w:rFonts w:ascii="Times New Roman" w:hAnsi="Times New Roman"/>
                <w:bCs/>
                <w:sz w:val="26"/>
                <w:szCs w:val="26"/>
              </w:rPr>
              <w:t>: 0</w:t>
            </w:r>
            <w:r w:rsidR="00940976">
              <w:rPr>
                <w:rFonts w:ascii="Times New Roman" w:hAnsi="Times New Roman"/>
                <w:bCs/>
                <w:sz w:val="26"/>
                <w:szCs w:val="26"/>
              </w:rPr>
              <w:t>2</w:t>
            </w:r>
            <w:r w:rsidRPr="00992805">
              <w:rPr>
                <w:rFonts w:ascii="Times New Roman" w:hAnsi="Times New Roman"/>
                <w:bCs/>
                <w:sz w:val="26"/>
                <w:szCs w:val="26"/>
              </w:rPr>
              <w:t>4 2222 9999</w:t>
            </w:r>
          </w:p>
          <w:p w:rsidR="00992805" w:rsidRDefault="00992805" w:rsidP="00940976">
            <w:pPr>
              <w:jc w:val="right"/>
              <w:rPr>
                <w:rFonts w:ascii="Times New Roman" w:hAnsi="Times New Roman"/>
                <w:color w:val="1F497D"/>
                <w:sz w:val="26"/>
                <w:szCs w:val="26"/>
              </w:rPr>
            </w:pPr>
            <w:r>
              <w:rPr>
                <w:rFonts w:ascii="Times New Roman" w:hAnsi="Times New Roman"/>
                <w:color w:val="1F497D"/>
                <w:szCs w:val="26"/>
              </w:rPr>
              <w:t xml:space="preserve">                   </w:t>
            </w:r>
            <w:r w:rsidR="00940976">
              <w:rPr>
                <w:rFonts w:ascii="Times New Roman" w:hAnsi="Times New Roman"/>
                <w:color w:val="1F497D"/>
                <w:szCs w:val="26"/>
              </w:rPr>
              <w:t xml:space="preserve">                </w:t>
            </w:r>
            <w:r w:rsidRPr="00992805">
              <w:rPr>
                <w:rFonts w:ascii="Times New Roman" w:hAnsi="Times New Roman"/>
                <w:color w:val="1F497D"/>
                <w:sz w:val="26"/>
                <w:szCs w:val="26"/>
              </w:rPr>
              <w:t xml:space="preserve">Website: </w:t>
            </w:r>
            <w:hyperlink r:id="rId9" w:history="1">
              <w:r w:rsidRPr="00992805">
                <w:rPr>
                  <w:rStyle w:val="Hyperlink"/>
                  <w:rFonts w:ascii="Times New Roman" w:hAnsi="Times New Roman"/>
                  <w:sz w:val="26"/>
                  <w:szCs w:val="26"/>
                </w:rPr>
                <w:t>www.evnfc.vn</w:t>
              </w:r>
            </w:hyperlink>
          </w:p>
          <w:p w:rsidR="00E125F3" w:rsidRPr="00992805" w:rsidRDefault="00E125F3" w:rsidP="00992805">
            <w:pPr>
              <w:rPr>
                <w:rFonts w:ascii="Times New Roman" w:hAnsi="Times New Roman" w:cs="Times New Roman"/>
                <w:sz w:val="26"/>
                <w:szCs w:val="26"/>
              </w:rPr>
            </w:pPr>
          </w:p>
        </w:tc>
      </w:tr>
    </w:tbl>
    <w:p w:rsidR="00E125F3" w:rsidRPr="0033609D" w:rsidRDefault="00E125F3" w:rsidP="00386860">
      <w:pPr>
        <w:spacing w:before="120" w:after="0" w:line="240" w:lineRule="auto"/>
        <w:jc w:val="center"/>
        <w:rPr>
          <w:rFonts w:ascii="Times New Roman" w:hAnsi="Times New Roman" w:cs="Times New Roman"/>
          <w:b/>
          <w:sz w:val="26"/>
          <w:szCs w:val="26"/>
        </w:rPr>
      </w:pPr>
      <w:r w:rsidRPr="0033609D">
        <w:rPr>
          <w:rFonts w:ascii="Times New Roman" w:hAnsi="Times New Roman" w:cs="Times New Roman"/>
          <w:b/>
          <w:sz w:val="26"/>
          <w:szCs w:val="26"/>
        </w:rPr>
        <w:t>ĐIỀU KIỆN ĐỀ CỬ, ỨNG CỬ THÀNH VIÊN HỘI ĐỒNG QUẢN TRỊ</w:t>
      </w:r>
      <w:r w:rsidR="00466BBB" w:rsidRPr="0033609D">
        <w:rPr>
          <w:rFonts w:ascii="Times New Roman" w:hAnsi="Times New Roman" w:cs="Times New Roman"/>
          <w:b/>
          <w:sz w:val="26"/>
          <w:szCs w:val="26"/>
        </w:rPr>
        <w:t xml:space="preserve"> EVNF</w:t>
      </w:r>
      <w:r w:rsidR="00680129">
        <w:rPr>
          <w:rFonts w:ascii="Times New Roman" w:hAnsi="Times New Roman" w:cs="Times New Roman"/>
          <w:b/>
          <w:sz w:val="26"/>
          <w:szCs w:val="26"/>
        </w:rPr>
        <w:t>INANCE</w:t>
      </w:r>
      <w:r w:rsidR="00466BBB" w:rsidRPr="0033609D">
        <w:rPr>
          <w:rFonts w:ascii="Times New Roman" w:hAnsi="Times New Roman" w:cs="Times New Roman"/>
          <w:b/>
          <w:sz w:val="26"/>
          <w:szCs w:val="26"/>
        </w:rPr>
        <w:t xml:space="preserve"> NHIỆM</w:t>
      </w:r>
      <w:r w:rsidRPr="0033609D">
        <w:rPr>
          <w:rFonts w:ascii="Times New Roman" w:hAnsi="Times New Roman" w:cs="Times New Roman"/>
          <w:b/>
          <w:sz w:val="26"/>
          <w:szCs w:val="26"/>
        </w:rPr>
        <w:t xml:space="preserve"> KỲ 2018-2023</w:t>
      </w:r>
    </w:p>
    <w:p w:rsidR="00E125F3" w:rsidRPr="00425475" w:rsidRDefault="00E125F3" w:rsidP="00940976">
      <w:pPr>
        <w:spacing w:before="120" w:after="0" w:line="240" w:lineRule="auto"/>
        <w:jc w:val="center"/>
        <w:rPr>
          <w:rFonts w:ascii="Times New Roman" w:hAnsi="Times New Roman" w:cs="Times New Roman"/>
          <w:i/>
          <w:sz w:val="26"/>
          <w:szCs w:val="26"/>
        </w:rPr>
      </w:pPr>
      <w:r w:rsidRPr="00425475">
        <w:rPr>
          <w:rFonts w:ascii="Times New Roman" w:hAnsi="Times New Roman" w:cs="Times New Roman"/>
          <w:i/>
          <w:sz w:val="26"/>
          <w:szCs w:val="26"/>
        </w:rPr>
        <w:t xml:space="preserve">(Kèm theo Thông báo </w:t>
      </w:r>
      <w:proofErr w:type="gramStart"/>
      <w:r w:rsidRPr="00425475">
        <w:rPr>
          <w:rFonts w:ascii="Times New Roman" w:hAnsi="Times New Roman" w:cs="Times New Roman"/>
          <w:i/>
          <w:sz w:val="26"/>
          <w:szCs w:val="26"/>
        </w:rPr>
        <w:t xml:space="preserve">số  </w:t>
      </w:r>
      <w:r w:rsidR="00901B63">
        <w:rPr>
          <w:rFonts w:ascii="Times New Roman" w:hAnsi="Times New Roman" w:cs="Times New Roman"/>
          <w:i/>
          <w:sz w:val="26"/>
          <w:szCs w:val="26"/>
        </w:rPr>
        <w:t>09</w:t>
      </w:r>
      <w:proofErr w:type="gramEnd"/>
      <w:r w:rsidR="00BC20B9">
        <w:rPr>
          <w:rFonts w:ascii="Times New Roman" w:hAnsi="Times New Roman" w:cs="Times New Roman"/>
          <w:i/>
          <w:sz w:val="26"/>
          <w:szCs w:val="26"/>
        </w:rPr>
        <w:t>/HĐQT- TCĐL  ngày</w:t>
      </w:r>
      <w:r w:rsidR="00EA50D0">
        <w:rPr>
          <w:rFonts w:ascii="Times New Roman" w:hAnsi="Times New Roman" w:cs="Times New Roman"/>
          <w:i/>
          <w:sz w:val="26"/>
          <w:szCs w:val="26"/>
        </w:rPr>
        <w:t xml:space="preserve"> </w:t>
      </w:r>
      <w:r w:rsidR="00901B63">
        <w:rPr>
          <w:rFonts w:ascii="Times New Roman" w:hAnsi="Times New Roman" w:cs="Times New Roman"/>
          <w:i/>
          <w:sz w:val="26"/>
          <w:szCs w:val="26"/>
        </w:rPr>
        <w:t xml:space="preserve"> </w:t>
      </w:r>
      <w:r w:rsidR="00D9349E">
        <w:rPr>
          <w:rFonts w:ascii="Times New Roman" w:hAnsi="Times New Roman" w:cs="Times New Roman"/>
          <w:i/>
          <w:sz w:val="26"/>
          <w:szCs w:val="26"/>
        </w:rPr>
        <w:t xml:space="preserve"> </w:t>
      </w:r>
      <w:r w:rsidR="00901B63">
        <w:rPr>
          <w:rFonts w:ascii="Times New Roman" w:hAnsi="Times New Roman" w:cs="Times New Roman"/>
          <w:i/>
          <w:sz w:val="26"/>
          <w:szCs w:val="26"/>
        </w:rPr>
        <w:t>15</w:t>
      </w:r>
      <w:r w:rsidR="00EA50D0">
        <w:rPr>
          <w:rFonts w:ascii="Times New Roman" w:hAnsi="Times New Roman" w:cs="Times New Roman"/>
          <w:i/>
          <w:sz w:val="26"/>
          <w:szCs w:val="26"/>
        </w:rPr>
        <w:t>/</w:t>
      </w:r>
      <w:r w:rsidR="00901B63">
        <w:rPr>
          <w:rFonts w:ascii="Times New Roman" w:hAnsi="Times New Roman" w:cs="Times New Roman"/>
          <w:i/>
          <w:sz w:val="26"/>
          <w:szCs w:val="26"/>
        </w:rPr>
        <w:t>01</w:t>
      </w:r>
      <w:r w:rsidR="00BC20B9">
        <w:rPr>
          <w:rFonts w:ascii="Times New Roman" w:hAnsi="Times New Roman" w:cs="Times New Roman"/>
          <w:i/>
          <w:sz w:val="26"/>
          <w:szCs w:val="26"/>
        </w:rPr>
        <w:t>/</w:t>
      </w:r>
      <w:r w:rsidRPr="00425475">
        <w:rPr>
          <w:rFonts w:ascii="Times New Roman" w:hAnsi="Times New Roman" w:cs="Times New Roman"/>
          <w:i/>
          <w:sz w:val="26"/>
          <w:szCs w:val="26"/>
        </w:rPr>
        <w:t>20</w:t>
      </w:r>
      <w:r w:rsidR="00D9349E">
        <w:rPr>
          <w:rFonts w:ascii="Times New Roman" w:hAnsi="Times New Roman" w:cs="Times New Roman"/>
          <w:i/>
          <w:sz w:val="26"/>
          <w:szCs w:val="26"/>
        </w:rPr>
        <w:t>20</w:t>
      </w:r>
      <w:r w:rsidRPr="00425475">
        <w:rPr>
          <w:rFonts w:ascii="Times New Roman" w:hAnsi="Times New Roman" w:cs="Times New Roman"/>
          <w:i/>
          <w:sz w:val="26"/>
          <w:szCs w:val="26"/>
        </w:rPr>
        <w:t xml:space="preserve"> của Hội đồng Quản trị</w:t>
      </w:r>
      <w:r w:rsidR="00BC20B9">
        <w:rPr>
          <w:rFonts w:ascii="Times New Roman" w:hAnsi="Times New Roman" w:cs="Times New Roman"/>
          <w:i/>
          <w:sz w:val="26"/>
          <w:szCs w:val="26"/>
        </w:rPr>
        <w:t xml:space="preserve"> EVNFinance</w:t>
      </w:r>
      <w:r w:rsidRPr="00425475">
        <w:rPr>
          <w:rFonts w:ascii="Times New Roman" w:hAnsi="Times New Roman" w:cs="Times New Roman"/>
          <w:i/>
          <w:sz w:val="26"/>
          <w:szCs w:val="26"/>
        </w:rPr>
        <w:t>)</w:t>
      </w:r>
    </w:p>
    <w:p w:rsidR="0044343B" w:rsidRDefault="0044343B" w:rsidP="00940976">
      <w:pPr>
        <w:spacing w:before="120" w:after="0" w:line="240" w:lineRule="auto"/>
        <w:jc w:val="center"/>
        <w:rPr>
          <w:rFonts w:ascii="Times New Roman" w:hAnsi="Times New Roman" w:cs="Times New Roman"/>
          <w:sz w:val="26"/>
          <w:szCs w:val="26"/>
        </w:rPr>
      </w:pPr>
    </w:p>
    <w:p w:rsidR="00CF01C0" w:rsidRDefault="00E125F3">
      <w:pPr>
        <w:numPr>
          <w:ilvl w:val="0"/>
          <w:numId w:val="1"/>
        </w:numPr>
        <w:spacing w:after="120" w:line="264" w:lineRule="auto"/>
        <w:jc w:val="both"/>
        <w:rPr>
          <w:rFonts w:ascii="Times New Roman" w:hAnsi="Times New Roman"/>
          <w:sz w:val="26"/>
          <w:szCs w:val="26"/>
        </w:rPr>
      </w:pPr>
      <w:r w:rsidRPr="00E125F3">
        <w:rPr>
          <w:rFonts w:ascii="Times New Roman" w:hAnsi="Times New Roman"/>
          <w:sz w:val="26"/>
          <w:szCs w:val="26"/>
        </w:rPr>
        <w:t>Căn cứ Luật Doanh nghiệp số 68/2014/QH13 ngày</w:t>
      </w:r>
    </w:p>
    <w:p w:rsidR="00816CD6" w:rsidRDefault="00E125F3">
      <w:pPr>
        <w:numPr>
          <w:ilvl w:val="0"/>
          <w:numId w:val="1"/>
        </w:numPr>
        <w:spacing w:after="120" w:line="264" w:lineRule="auto"/>
        <w:jc w:val="both"/>
        <w:rPr>
          <w:rFonts w:ascii="Times New Roman" w:hAnsi="Times New Roman"/>
          <w:sz w:val="26"/>
          <w:szCs w:val="26"/>
        </w:rPr>
      </w:pPr>
      <w:r w:rsidRPr="00E125F3">
        <w:rPr>
          <w:rFonts w:ascii="Times New Roman" w:hAnsi="Times New Roman"/>
          <w:sz w:val="26"/>
          <w:szCs w:val="26"/>
        </w:rPr>
        <w:t xml:space="preserve"> 26/11/2014 của Quốc hội</w:t>
      </w:r>
      <w:r w:rsidR="00D122BA">
        <w:rPr>
          <w:rFonts w:ascii="Times New Roman" w:hAnsi="Times New Roman"/>
          <w:sz w:val="26"/>
          <w:szCs w:val="26"/>
        </w:rPr>
        <w:t xml:space="preserve"> </w:t>
      </w:r>
      <w:r w:rsidRPr="00D122BA">
        <w:rPr>
          <w:rFonts w:ascii="Times New Roman" w:hAnsi="Times New Roman"/>
          <w:sz w:val="26"/>
          <w:szCs w:val="26"/>
        </w:rPr>
        <w:t>nước Cộng hòa xã hội Chủ nghĩa Việt Nam;</w:t>
      </w:r>
    </w:p>
    <w:p w:rsidR="00816CD6" w:rsidRDefault="00E125F3">
      <w:pPr>
        <w:numPr>
          <w:ilvl w:val="0"/>
          <w:numId w:val="1"/>
        </w:numPr>
        <w:spacing w:after="120" w:line="264" w:lineRule="auto"/>
        <w:jc w:val="both"/>
        <w:rPr>
          <w:rFonts w:ascii="Times New Roman" w:hAnsi="Times New Roman"/>
          <w:sz w:val="26"/>
          <w:szCs w:val="26"/>
        </w:rPr>
      </w:pPr>
      <w:r w:rsidRPr="00E125F3">
        <w:rPr>
          <w:rFonts w:ascii="Times New Roman" w:hAnsi="Times New Roman"/>
          <w:sz w:val="26"/>
          <w:szCs w:val="26"/>
        </w:rPr>
        <w:t xml:space="preserve">Căn cứ </w:t>
      </w:r>
      <w:r w:rsidR="00EA50D0" w:rsidRPr="00EA50D0">
        <w:rPr>
          <w:rFonts w:ascii="Times New Roman" w:hAnsi="Times New Roman"/>
          <w:sz w:val="26"/>
          <w:szCs w:val="26"/>
        </w:rPr>
        <w:t xml:space="preserve">Luật các Tổ chức Tín dụng số 47/2010/QH12 ngày 16/6/2010 của Quốc hội nước Cộng hòa xã hội Chủ nghĩa Việt Nam (Luật các Tổ chức Tín dụng năm 2010); Luật sửa đổi, bổ sung một số điều của Luật các Tổ chức Tín dụng </w:t>
      </w:r>
      <w:r w:rsidR="00416084">
        <w:rPr>
          <w:rFonts w:ascii="Times New Roman" w:hAnsi="Times New Roman"/>
          <w:sz w:val="26"/>
          <w:szCs w:val="26"/>
        </w:rPr>
        <w:t>năm 2017</w:t>
      </w:r>
      <w:r w:rsidRPr="00680129">
        <w:rPr>
          <w:rFonts w:ascii="Times New Roman" w:hAnsi="Times New Roman"/>
          <w:sz w:val="26"/>
          <w:szCs w:val="26"/>
        </w:rPr>
        <w:t>;</w:t>
      </w:r>
    </w:p>
    <w:p w:rsidR="00816CD6" w:rsidRDefault="00E125F3">
      <w:pPr>
        <w:numPr>
          <w:ilvl w:val="0"/>
          <w:numId w:val="1"/>
        </w:numPr>
        <w:spacing w:after="120" w:line="264" w:lineRule="auto"/>
        <w:jc w:val="both"/>
        <w:rPr>
          <w:rFonts w:ascii="Times New Roman" w:hAnsi="Times New Roman"/>
          <w:sz w:val="26"/>
          <w:szCs w:val="26"/>
        </w:rPr>
      </w:pPr>
      <w:r w:rsidRPr="00E125F3">
        <w:rPr>
          <w:rFonts w:ascii="Times New Roman" w:hAnsi="Times New Roman"/>
          <w:sz w:val="26"/>
          <w:szCs w:val="26"/>
        </w:rPr>
        <w:t>Căn cứ</w:t>
      </w:r>
      <w:r w:rsidR="00425475">
        <w:rPr>
          <w:rFonts w:ascii="Times New Roman" w:hAnsi="Times New Roman"/>
          <w:sz w:val="26"/>
          <w:szCs w:val="26"/>
        </w:rPr>
        <w:t xml:space="preserve"> </w:t>
      </w:r>
      <w:r w:rsidR="00425475" w:rsidRPr="00425475">
        <w:rPr>
          <w:rFonts w:ascii="Times New Roman" w:hAnsi="Times New Roman"/>
          <w:szCs w:val="26"/>
        </w:rPr>
        <w:t xml:space="preserve"> </w:t>
      </w:r>
      <w:r w:rsidR="00425475" w:rsidRPr="00425475">
        <w:rPr>
          <w:rFonts w:ascii="Times New Roman" w:hAnsi="Times New Roman"/>
          <w:sz w:val="26"/>
          <w:szCs w:val="26"/>
        </w:rPr>
        <w:t xml:space="preserve">Điều lệ Tổ chức và hoạt động của Công ty </w:t>
      </w:r>
      <w:r w:rsidR="00D9349E">
        <w:rPr>
          <w:rFonts w:ascii="Times New Roman" w:hAnsi="Times New Roman"/>
          <w:sz w:val="26"/>
          <w:szCs w:val="26"/>
        </w:rPr>
        <w:t>T</w:t>
      </w:r>
      <w:r w:rsidR="00D9349E" w:rsidRPr="00425475">
        <w:rPr>
          <w:rFonts w:ascii="Times New Roman" w:hAnsi="Times New Roman"/>
          <w:sz w:val="26"/>
          <w:szCs w:val="26"/>
        </w:rPr>
        <w:t xml:space="preserve">ài </w:t>
      </w:r>
      <w:r w:rsidR="00425475" w:rsidRPr="00425475">
        <w:rPr>
          <w:rFonts w:ascii="Times New Roman" w:hAnsi="Times New Roman"/>
          <w:sz w:val="26"/>
          <w:szCs w:val="26"/>
        </w:rPr>
        <w:t>chính Cổ phần Điện lực</w:t>
      </w:r>
      <w:r w:rsidR="00425475">
        <w:rPr>
          <w:rFonts w:ascii="Times New Roman" w:hAnsi="Times New Roman"/>
          <w:sz w:val="26"/>
          <w:szCs w:val="26"/>
        </w:rPr>
        <w:t>;</w:t>
      </w:r>
    </w:p>
    <w:p w:rsidR="00816CD6" w:rsidRDefault="00D122BA">
      <w:pPr>
        <w:spacing w:after="120" w:line="264" w:lineRule="auto"/>
        <w:ind w:firstLine="720"/>
        <w:jc w:val="both"/>
        <w:rPr>
          <w:rFonts w:ascii="Times New Roman" w:hAnsi="Times New Roman"/>
          <w:sz w:val="26"/>
          <w:szCs w:val="26"/>
        </w:rPr>
      </w:pPr>
      <w:r>
        <w:rPr>
          <w:rFonts w:ascii="Times New Roman" w:hAnsi="Times New Roman"/>
          <w:sz w:val="26"/>
          <w:szCs w:val="26"/>
        </w:rPr>
        <w:t>Các nguyên tắc đề cử, ứng cử nhân sự để</w:t>
      </w:r>
      <w:r w:rsidR="00425475">
        <w:rPr>
          <w:rFonts w:ascii="Times New Roman" w:hAnsi="Times New Roman"/>
          <w:sz w:val="26"/>
          <w:szCs w:val="26"/>
        </w:rPr>
        <w:t xml:space="preserve"> bầu</w:t>
      </w:r>
      <w:r w:rsidR="00D9349E">
        <w:rPr>
          <w:rFonts w:ascii="Times New Roman" w:hAnsi="Times New Roman"/>
          <w:sz w:val="26"/>
          <w:szCs w:val="26"/>
        </w:rPr>
        <w:t xml:space="preserve"> bổ sung</w:t>
      </w:r>
      <w:r>
        <w:rPr>
          <w:rFonts w:ascii="Times New Roman" w:hAnsi="Times New Roman"/>
          <w:sz w:val="26"/>
          <w:szCs w:val="26"/>
        </w:rPr>
        <w:t xml:space="preserve"> thành viên Hội đồng Quản trị Công ty Tài chính Cổ phần Điện lực (nhiệm kỳ 2018-2023) tại phiên họp Đại hội đồng cổ đông thường niên được thực hiện như sau:</w:t>
      </w:r>
    </w:p>
    <w:p w:rsidR="00816CD6" w:rsidRDefault="00C0164D">
      <w:pPr>
        <w:spacing w:after="120" w:line="264" w:lineRule="auto"/>
        <w:jc w:val="both"/>
        <w:rPr>
          <w:rFonts w:ascii="Times New Roman" w:hAnsi="Times New Roman"/>
          <w:b/>
          <w:sz w:val="26"/>
          <w:szCs w:val="26"/>
        </w:rPr>
      </w:pPr>
      <w:proofErr w:type="gramStart"/>
      <w:r w:rsidRPr="0033609D">
        <w:rPr>
          <w:rFonts w:ascii="Times New Roman" w:hAnsi="Times New Roman"/>
          <w:b/>
          <w:sz w:val="26"/>
          <w:szCs w:val="26"/>
        </w:rPr>
        <w:t xml:space="preserve">I. </w:t>
      </w:r>
      <w:r w:rsidR="00D122BA" w:rsidRPr="0033609D">
        <w:rPr>
          <w:rFonts w:ascii="Times New Roman" w:hAnsi="Times New Roman"/>
          <w:b/>
          <w:sz w:val="26"/>
          <w:szCs w:val="26"/>
        </w:rPr>
        <w:t>Tiêu chuẩn chung đối với người được đề cử</w:t>
      </w:r>
      <w:proofErr w:type="gramEnd"/>
      <w:r w:rsidR="00D122BA" w:rsidRPr="0033609D">
        <w:rPr>
          <w:rFonts w:ascii="Times New Roman" w:hAnsi="Times New Roman"/>
          <w:b/>
          <w:sz w:val="26"/>
          <w:szCs w:val="26"/>
        </w:rPr>
        <w:t>, ứng cử vào Hội đồng Quản trị</w:t>
      </w:r>
      <w:r w:rsidR="00D9349E">
        <w:rPr>
          <w:rFonts w:ascii="Times New Roman" w:hAnsi="Times New Roman"/>
          <w:b/>
          <w:sz w:val="26"/>
          <w:szCs w:val="26"/>
        </w:rPr>
        <w:t>:</w:t>
      </w:r>
    </w:p>
    <w:p w:rsidR="00816CD6" w:rsidRDefault="0044343B">
      <w:pPr>
        <w:spacing w:after="120" w:line="264" w:lineRule="auto"/>
        <w:jc w:val="both"/>
        <w:rPr>
          <w:rFonts w:ascii="Times New Roman" w:hAnsi="Times New Roman"/>
          <w:b/>
          <w:i/>
          <w:sz w:val="26"/>
          <w:szCs w:val="26"/>
        </w:rPr>
      </w:pPr>
      <w:r w:rsidRPr="0044343B">
        <w:rPr>
          <w:rFonts w:ascii="Times New Roman" w:hAnsi="Times New Roman"/>
          <w:b/>
          <w:i/>
          <w:sz w:val="26"/>
          <w:szCs w:val="26"/>
        </w:rPr>
        <w:t>1. Những người sau đây không được là thành viên Hội đồng Quản trị EVNF</w:t>
      </w:r>
      <w:r w:rsidR="000B5B0C">
        <w:rPr>
          <w:rFonts w:ascii="Times New Roman" w:hAnsi="Times New Roman"/>
          <w:b/>
          <w:i/>
          <w:sz w:val="26"/>
          <w:szCs w:val="26"/>
        </w:rPr>
        <w:t>inance</w:t>
      </w:r>
      <w:r>
        <w:rPr>
          <w:rFonts w:ascii="Times New Roman" w:hAnsi="Times New Roman"/>
          <w:b/>
          <w:i/>
          <w:sz w:val="26"/>
          <w:szCs w:val="26"/>
        </w:rPr>
        <w:t>:</w:t>
      </w:r>
    </w:p>
    <w:p w:rsidR="00816CD6" w:rsidRDefault="00C0164D">
      <w:pPr>
        <w:spacing w:after="120" w:line="264" w:lineRule="auto"/>
        <w:ind w:firstLine="720"/>
        <w:jc w:val="both"/>
        <w:rPr>
          <w:rFonts w:ascii="Times New Roman" w:hAnsi="Times New Roman"/>
          <w:sz w:val="26"/>
          <w:szCs w:val="26"/>
          <w:vertAlign w:val="superscript"/>
        </w:rPr>
      </w:pPr>
      <w:r>
        <w:rPr>
          <w:rFonts w:ascii="Times New Roman" w:hAnsi="Times New Roman"/>
          <w:sz w:val="26"/>
          <w:szCs w:val="26"/>
        </w:rPr>
        <w:t xml:space="preserve">a) </w:t>
      </w:r>
      <w:r w:rsidR="00B62754" w:rsidRPr="00C0164D">
        <w:rPr>
          <w:rFonts w:ascii="Times New Roman" w:hAnsi="Times New Roman"/>
          <w:sz w:val="26"/>
          <w:szCs w:val="26"/>
        </w:rPr>
        <w:t xml:space="preserve">Người chưa thành niên, người bị hạn chế hoặc bị mất năng lực hành </w:t>
      </w:r>
      <w:proofErr w:type="gramStart"/>
      <w:r w:rsidR="00B62754" w:rsidRPr="00C0164D">
        <w:rPr>
          <w:rFonts w:ascii="Times New Roman" w:hAnsi="Times New Roman"/>
          <w:sz w:val="26"/>
          <w:szCs w:val="26"/>
        </w:rPr>
        <w:t>vi</w:t>
      </w:r>
      <w:proofErr w:type="gramEnd"/>
      <w:r w:rsidR="00B62754" w:rsidRPr="00C0164D">
        <w:rPr>
          <w:rFonts w:ascii="Times New Roman" w:hAnsi="Times New Roman"/>
          <w:sz w:val="26"/>
          <w:szCs w:val="26"/>
        </w:rPr>
        <w:t xml:space="preserve"> dân sự;</w:t>
      </w:r>
    </w:p>
    <w:p w:rsidR="00816CD6" w:rsidRDefault="00C0164D">
      <w:pPr>
        <w:spacing w:after="120" w:line="264" w:lineRule="auto"/>
        <w:ind w:firstLine="720"/>
        <w:jc w:val="both"/>
        <w:rPr>
          <w:rFonts w:ascii="Times New Roman" w:hAnsi="Times New Roman"/>
          <w:sz w:val="26"/>
          <w:szCs w:val="26"/>
          <w:vertAlign w:val="superscript"/>
        </w:rPr>
      </w:pPr>
      <w:r>
        <w:rPr>
          <w:rFonts w:ascii="Times New Roman" w:hAnsi="Times New Roman"/>
          <w:sz w:val="26"/>
          <w:szCs w:val="26"/>
        </w:rPr>
        <w:t xml:space="preserve">b) </w:t>
      </w:r>
      <w:r w:rsidR="00B62754" w:rsidRPr="00C0164D">
        <w:rPr>
          <w:rFonts w:ascii="Times New Roman" w:hAnsi="Times New Roman"/>
          <w:sz w:val="26"/>
          <w:szCs w:val="26"/>
        </w:rPr>
        <w:t>Người đang bị truy cứu trách nhiệm hình sự, đang chấp hành bản án, quyết định về hình sự của Tòa án;</w:t>
      </w:r>
    </w:p>
    <w:p w:rsidR="00816CD6" w:rsidRDefault="00C0164D">
      <w:pPr>
        <w:spacing w:after="120" w:line="264" w:lineRule="auto"/>
        <w:ind w:firstLine="720"/>
        <w:jc w:val="both"/>
        <w:rPr>
          <w:rFonts w:ascii="Times New Roman" w:hAnsi="Times New Roman"/>
          <w:sz w:val="26"/>
          <w:szCs w:val="26"/>
          <w:vertAlign w:val="superscript"/>
        </w:rPr>
      </w:pPr>
      <w:r>
        <w:rPr>
          <w:rFonts w:ascii="Times New Roman" w:hAnsi="Times New Roman"/>
          <w:sz w:val="26"/>
          <w:szCs w:val="26"/>
        </w:rPr>
        <w:t xml:space="preserve">c) </w:t>
      </w:r>
      <w:r w:rsidR="00B62754" w:rsidRPr="00C0164D">
        <w:rPr>
          <w:rFonts w:ascii="Times New Roman" w:hAnsi="Times New Roman"/>
          <w:sz w:val="26"/>
          <w:szCs w:val="26"/>
        </w:rPr>
        <w:t xml:space="preserve">Người đã bị kết </w:t>
      </w:r>
      <w:proofErr w:type="gramStart"/>
      <w:r w:rsidR="00B62754" w:rsidRPr="00C0164D">
        <w:rPr>
          <w:rFonts w:ascii="Times New Roman" w:hAnsi="Times New Roman"/>
          <w:sz w:val="26"/>
          <w:szCs w:val="26"/>
        </w:rPr>
        <w:t>án</w:t>
      </w:r>
      <w:proofErr w:type="gramEnd"/>
      <w:r w:rsidR="00B62754" w:rsidRPr="00C0164D">
        <w:rPr>
          <w:rFonts w:ascii="Times New Roman" w:hAnsi="Times New Roman"/>
          <w:sz w:val="26"/>
          <w:szCs w:val="26"/>
        </w:rPr>
        <w:t xml:space="preserve"> về tội từ tội phạm nghiêm trọng trở lên;</w:t>
      </w:r>
    </w:p>
    <w:p w:rsidR="00816CD6" w:rsidRDefault="00C0164D">
      <w:pPr>
        <w:spacing w:after="120" w:line="264" w:lineRule="auto"/>
        <w:ind w:firstLine="720"/>
        <w:jc w:val="both"/>
        <w:rPr>
          <w:rFonts w:ascii="Times New Roman" w:hAnsi="Times New Roman"/>
          <w:sz w:val="26"/>
          <w:szCs w:val="26"/>
          <w:vertAlign w:val="superscript"/>
        </w:rPr>
      </w:pPr>
      <w:r>
        <w:rPr>
          <w:rFonts w:ascii="Times New Roman" w:hAnsi="Times New Roman"/>
          <w:sz w:val="26"/>
          <w:szCs w:val="26"/>
        </w:rPr>
        <w:t xml:space="preserve">d) </w:t>
      </w:r>
      <w:r w:rsidR="00B62754" w:rsidRPr="00C0164D">
        <w:rPr>
          <w:rFonts w:ascii="Times New Roman" w:hAnsi="Times New Roman"/>
          <w:sz w:val="26"/>
          <w:szCs w:val="26"/>
        </w:rPr>
        <w:t xml:space="preserve">Người đã bị kết </w:t>
      </w:r>
      <w:proofErr w:type="gramStart"/>
      <w:r w:rsidR="00B62754" w:rsidRPr="00C0164D">
        <w:rPr>
          <w:rFonts w:ascii="Times New Roman" w:hAnsi="Times New Roman"/>
          <w:sz w:val="26"/>
          <w:szCs w:val="26"/>
        </w:rPr>
        <w:t>án</w:t>
      </w:r>
      <w:proofErr w:type="gramEnd"/>
      <w:r w:rsidR="00B62754" w:rsidRPr="00C0164D">
        <w:rPr>
          <w:rFonts w:ascii="Times New Roman" w:hAnsi="Times New Roman"/>
          <w:sz w:val="26"/>
          <w:szCs w:val="26"/>
        </w:rPr>
        <w:t xml:space="preserve"> về tội xâm phạm sở hữu mà chưa được xóa án tích;</w:t>
      </w:r>
    </w:p>
    <w:p w:rsidR="00816CD6" w:rsidRDefault="00B820A1">
      <w:pPr>
        <w:spacing w:after="120" w:line="264" w:lineRule="auto"/>
        <w:ind w:firstLine="720"/>
        <w:jc w:val="both"/>
        <w:rPr>
          <w:rFonts w:ascii="Times New Roman" w:hAnsi="Times New Roman"/>
          <w:sz w:val="26"/>
          <w:szCs w:val="26"/>
          <w:vertAlign w:val="superscript"/>
        </w:rPr>
      </w:pPr>
      <w:r>
        <w:rPr>
          <w:rFonts w:ascii="Times New Roman" w:hAnsi="Times New Roman"/>
          <w:sz w:val="26"/>
          <w:szCs w:val="26"/>
        </w:rPr>
        <w:t xml:space="preserve">e) </w:t>
      </w:r>
      <w:r w:rsidR="00B62754" w:rsidRPr="00C0164D">
        <w:rPr>
          <w:rFonts w:ascii="Times New Roman" w:hAnsi="Times New Roman"/>
          <w:sz w:val="26"/>
          <w:szCs w:val="26"/>
        </w:rPr>
        <w:t>Cán bộ, công chức, người quản lý từ cấp phòng trở lên trong các doanh nghiệp mà Nhà n</w:t>
      </w:r>
      <w:r w:rsidR="00425475">
        <w:rPr>
          <w:rFonts w:ascii="Times New Roman" w:hAnsi="Times New Roman"/>
          <w:sz w:val="26"/>
          <w:szCs w:val="26"/>
        </w:rPr>
        <w:t>ước nắm</w:t>
      </w:r>
      <w:r w:rsidR="00B62754" w:rsidRPr="00C0164D">
        <w:rPr>
          <w:rFonts w:ascii="Times New Roman" w:hAnsi="Times New Roman"/>
          <w:sz w:val="26"/>
          <w:szCs w:val="26"/>
        </w:rPr>
        <w:t xml:space="preserve"> từ 50% vốn điều lệ trở lên, trừ người được cử làm </w:t>
      </w:r>
      <w:r w:rsidR="00425475">
        <w:rPr>
          <w:rFonts w:ascii="Times New Roman" w:hAnsi="Times New Roman"/>
          <w:sz w:val="26"/>
          <w:szCs w:val="26"/>
        </w:rPr>
        <w:t>đ</w:t>
      </w:r>
      <w:r w:rsidR="00B62754" w:rsidRPr="00C0164D">
        <w:rPr>
          <w:rFonts w:ascii="Times New Roman" w:hAnsi="Times New Roman"/>
          <w:sz w:val="26"/>
          <w:szCs w:val="26"/>
        </w:rPr>
        <w:t>ại diện quản lý phần vốn góp của Nhà nước tại EVNF</w:t>
      </w:r>
      <w:r w:rsidR="000B5B0C">
        <w:rPr>
          <w:rFonts w:ascii="Times New Roman" w:hAnsi="Times New Roman"/>
          <w:sz w:val="26"/>
          <w:szCs w:val="26"/>
        </w:rPr>
        <w:t>inance</w:t>
      </w:r>
      <w:r w:rsidR="00B62754" w:rsidRPr="00C0164D">
        <w:rPr>
          <w:rFonts w:ascii="Times New Roman" w:hAnsi="Times New Roman"/>
          <w:sz w:val="26"/>
          <w:szCs w:val="26"/>
        </w:rPr>
        <w:t>;</w:t>
      </w:r>
    </w:p>
    <w:p w:rsidR="00816CD6" w:rsidRDefault="00B820A1">
      <w:pPr>
        <w:spacing w:after="120" w:line="264" w:lineRule="auto"/>
        <w:ind w:firstLine="720"/>
        <w:jc w:val="both"/>
        <w:rPr>
          <w:rFonts w:ascii="Times New Roman" w:hAnsi="Times New Roman"/>
          <w:sz w:val="26"/>
          <w:szCs w:val="26"/>
          <w:vertAlign w:val="superscript"/>
        </w:rPr>
      </w:pPr>
      <w:r>
        <w:rPr>
          <w:rFonts w:ascii="Times New Roman" w:hAnsi="Times New Roman"/>
          <w:sz w:val="26"/>
          <w:szCs w:val="26"/>
        </w:rPr>
        <w:t>f</w:t>
      </w:r>
      <w:r w:rsidR="001C4DF7">
        <w:rPr>
          <w:rFonts w:ascii="Times New Roman" w:hAnsi="Times New Roman"/>
          <w:sz w:val="26"/>
          <w:szCs w:val="26"/>
        </w:rPr>
        <w:t xml:space="preserve">) </w:t>
      </w:r>
      <w:r w:rsidR="00C30FFA" w:rsidRPr="001C4DF7">
        <w:rPr>
          <w:rFonts w:ascii="Times New Roman" w:hAnsi="Times New Roman"/>
          <w:sz w:val="26"/>
          <w:szCs w:val="26"/>
        </w:rPr>
        <w:t>Sỹ quan, hạ sỹ quan, quân nhân chuyên nghiệp, công nhân quốc phòng trong các cơ quan, đơn vị thuộc Công an nhân dân Việt nam, trừ người được cử làm đại diện quản lý phần vốn góp của Nhà nước tại EVNF</w:t>
      </w:r>
      <w:r w:rsidR="000B5B0C">
        <w:rPr>
          <w:rFonts w:ascii="Times New Roman" w:hAnsi="Times New Roman"/>
          <w:sz w:val="26"/>
          <w:szCs w:val="26"/>
        </w:rPr>
        <w:t>inance</w:t>
      </w:r>
      <w:r w:rsidR="00C30FFA" w:rsidRPr="001C4DF7">
        <w:rPr>
          <w:rFonts w:ascii="Times New Roman" w:hAnsi="Times New Roman"/>
          <w:sz w:val="26"/>
          <w:szCs w:val="26"/>
        </w:rPr>
        <w:t>;</w:t>
      </w:r>
    </w:p>
    <w:p w:rsidR="00816CD6" w:rsidRDefault="00B820A1">
      <w:pPr>
        <w:spacing w:after="120" w:line="264" w:lineRule="auto"/>
        <w:ind w:firstLine="720"/>
        <w:jc w:val="both"/>
        <w:rPr>
          <w:rFonts w:ascii="Times New Roman" w:hAnsi="Times New Roman"/>
          <w:sz w:val="26"/>
          <w:szCs w:val="26"/>
          <w:vertAlign w:val="superscript"/>
        </w:rPr>
      </w:pPr>
      <w:r>
        <w:rPr>
          <w:rFonts w:ascii="Times New Roman" w:hAnsi="Times New Roman"/>
          <w:sz w:val="26"/>
          <w:szCs w:val="26"/>
        </w:rPr>
        <w:t>g</w:t>
      </w:r>
      <w:r w:rsidR="001C4DF7">
        <w:rPr>
          <w:rFonts w:ascii="Times New Roman" w:hAnsi="Times New Roman"/>
          <w:sz w:val="26"/>
          <w:szCs w:val="26"/>
        </w:rPr>
        <w:t xml:space="preserve">) </w:t>
      </w:r>
      <w:r w:rsidR="00C30FFA" w:rsidRPr="001C4DF7">
        <w:rPr>
          <w:rFonts w:ascii="Times New Roman" w:hAnsi="Times New Roman"/>
          <w:sz w:val="26"/>
          <w:szCs w:val="26"/>
        </w:rPr>
        <w:t>Người</w:t>
      </w:r>
      <w:r w:rsidR="00D9349E">
        <w:rPr>
          <w:rFonts w:ascii="Times New Roman" w:hAnsi="Times New Roman"/>
          <w:sz w:val="26"/>
          <w:szCs w:val="26"/>
        </w:rPr>
        <w:t xml:space="preserve"> </w:t>
      </w:r>
      <w:r w:rsidR="00B55E52">
        <w:rPr>
          <w:rFonts w:ascii="Times New Roman" w:hAnsi="Times New Roman"/>
          <w:sz w:val="26"/>
          <w:szCs w:val="26"/>
        </w:rPr>
        <w:t>thuộc</w:t>
      </w:r>
      <w:r w:rsidR="00C30FFA" w:rsidRPr="001C4DF7">
        <w:rPr>
          <w:rFonts w:ascii="Times New Roman" w:hAnsi="Times New Roman"/>
          <w:sz w:val="26"/>
          <w:szCs w:val="26"/>
        </w:rPr>
        <w:t xml:space="preserve"> đối tượng không được tham gia quản lý, điều hành </w:t>
      </w:r>
      <w:proofErr w:type="gramStart"/>
      <w:r w:rsidR="00C30FFA" w:rsidRPr="001C4DF7">
        <w:rPr>
          <w:rFonts w:ascii="Times New Roman" w:hAnsi="Times New Roman"/>
          <w:sz w:val="26"/>
          <w:szCs w:val="26"/>
        </w:rPr>
        <w:t>theo</w:t>
      </w:r>
      <w:proofErr w:type="gramEnd"/>
      <w:r w:rsidR="00C30FFA" w:rsidRPr="001C4DF7">
        <w:rPr>
          <w:rFonts w:ascii="Times New Roman" w:hAnsi="Times New Roman"/>
          <w:sz w:val="26"/>
          <w:szCs w:val="26"/>
        </w:rPr>
        <w:t xml:space="preserve"> quy định của pháp luật về cán bộ, công chức và pháp luật về phòng, chống tham nhũng;</w:t>
      </w:r>
      <w:r w:rsidR="00832CA0" w:rsidRPr="00832CA0">
        <w:t xml:space="preserve"> </w:t>
      </w:r>
    </w:p>
    <w:p w:rsidR="00816CD6" w:rsidRDefault="00B820A1">
      <w:pPr>
        <w:spacing w:after="120" w:line="264" w:lineRule="auto"/>
        <w:ind w:firstLine="720"/>
        <w:jc w:val="both"/>
        <w:rPr>
          <w:rFonts w:ascii="Times New Roman" w:hAnsi="Times New Roman"/>
          <w:sz w:val="26"/>
          <w:szCs w:val="26"/>
          <w:vertAlign w:val="superscript"/>
        </w:rPr>
      </w:pPr>
      <w:r>
        <w:rPr>
          <w:rFonts w:ascii="Times New Roman" w:hAnsi="Times New Roman"/>
          <w:sz w:val="26"/>
          <w:szCs w:val="26"/>
        </w:rPr>
        <w:t xml:space="preserve">h) </w:t>
      </w:r>
      <w:r w:rsidR="00C30FFA" w:rsidRPr="00B820A1">
        <w:rPr>
          <w:rFonts w:ascii="Times New Roman" w:hAnsi="Times New Roman"/>
          <w:sz w:val="26"/>
          <w:szCs w:val="26"/>
        </w:rPr>
        <w:t>Người đã từng là chủ</w:t>
      </w:r>
      <w:r>
        <w:rPr>
          <w:rFonts w:ascii="Times New Roman" w:hAnsi="Times New Roman"/>
          <w:sz w:val="26"/>
          <w:szCs w:val="26"/>
        </w:rPr>
        <w:t xml:space="preserve"> doa</w:t>
      </w:r>
      <w:r w:rsidR="00C30FFA" w:rsidRPr="00B820A1">
        <w:rPr>
          <w:rFonts w:ascii="Times New Roman" w:hAnsi="Times New Roman"/>
          <w:sz w:val="26"/>
          <w:szCs w:val="26"/>
        </w:rPr>
        <w:t>ng nghiệp tư nhân, thành viên hợp danh của công ty hợp danh; T</w:t>
      </w:r>
      <w:r>
        <w:rPr>
          <w:rFonts w:ascii="Times New Roman" w:hAnsi="Times New Roman"/>
          <w:sz w:val="26"/>
          <w:szCs w:val="26"/>
        </w:rPr>
        <w:t>ổ</w:t>
      </w:r>
      <w:r w:rsidR="00C30FFA" w:rsidRPr="00B820A1">
        <w:rPr>
          <w:rFonts w:ascii="Times New Roman" w:hAnsi="Times New Roman"/>
          <w:sz w:val="26"/>
          <w:szCs w:val="26"/>
        </w:rPr>
        <w:t>ng G</w:t>
      </w:r>
      <w:r>
        <w:rPr>
          <w:rFonts w:ascii="Times New Roman" w:hAnsi="Times New Roman"/>
          <w:sz w:val="26"/>
          <w:szCs w:val="26"/>
        </w:rPr>
        <w:t>i</w:t>
      </w:r>
      <w:r w:rsidR="00C30FFA" w:rsidRPr="00B820A1">
        <w:rPr>
          <w:rFonts w:ascii="Times New Roman" w:hAnsi="Times New Roman"/>
          <w:sz w:val="26"/>
          <w:szCs w:val="26"/>
        </w:rPr>
        <w:t xml:space="preserve">ám đốc (Giám đốc), thành viên Hội đồng Quản trị, thành viên Hội </w:t>
      </w:r>
      <w:r w:rsidR="00C30FFA" w:rsidRPr="00B820A1">
        <w:rPr>
          <w:rFonts w:ascii="Times New Roman" w:hAnsi="Times New Roman"/>
          <w:sz w:val="26"/>
          <w:szCs w:val="26"/>
        </w:rPr>
        <w:lastRenderedPageBreak/>
        <w:t>đồng thành viên, thành viên Ban Kiểm soát của doanh nghiệp; Chủ nhiệm và các thành viên Ban quản trị hợp tác xã tại thời điểm doanh nghiệp, hợp tác xã bị tuyên bố phá sản, trừ trường hợp doanh nghiệp, hợp tác xã bị tuyên bố phá sản v</w:t>
      </w:r>
      <w:r w:rsidR="00B55E52">
        <w:rPr>
          <w:rFonts w:ascii="Times New Roman" w:hAnsi="Times New Roman"/>
          <w:sz w:val="26"/>
          <w:szCs w:val="26"/>
        </w:rPr>
        <w:t>ì</w:t>
      </w:r>
      <w:r w:rsidR="00C30FFA" w:rsidRPr="00B820A1">
        <w:rPr>
          <w:rFonts w:ascii="Times New Roman" w:hAnsi="Times New Roman"/>
          <w:sz w:val="26"/>
          <w:szCs w:val="26"/>
        </w:rPr>
        <w:t xml:space="preserve"> lý do bất khả kháng;</w:t>
      </w:r>
    </w:p>
    <w:p w:rsidR="00816CD6" w:rsidRDefault="00B820A1">
      <w:pPr>
        <w:spacing w:after="120" w:line="264" w:lineRule="auto"/>
        <w:ind w:firstLine="720"/>
        <w:jc w:val="both"/>
        <w:rPr>
          <w:rFonts w:ascii="Times New Roman" w:hAnsi="Times New Roman"/>
          <w:spacing w:val="-2"/>
          <w:sz w:val="26"/>
          <w:szCs w:val="26"/>
          <w:vertAlign w:val="superscript"/>
        </w:rPr>
      </w:pPr>
      <w:r w:rsidRPr="0044343B">
        <w:rPr>
          <w:rFonts w:ascii="Times New Roman" w:hAnsi="Times New Roman"/>
          <w:spacing w:val="-2"/>
          <w:sz w:val="26"/>
          <w:szCs w:val="26"/>
        </w:rPr>
        <w:t xml:space="preserve">i) </w:t>
      </w:r>
      <w:r w:rsidR="00C30FFA" w:rsidRPr="0044343B">
        <w:rPr>
          <w:rFonts w:ascii="Times New Roman" w:hAnsi="Times New Roman"/>
          <w:spacing w:val="-2"/>
          <w:sz w:val="26"/>
          <w:szCs w:val="26"/>
        </w:rPr>
        <w:t xml:space="preserve">Người đại diện </w:t>
      </w:r>
      <w:proofErr w:type="gramStart"/>
      <w:r w:rsidR="00C30FFA" w:rsidRPr="0044343B">
        <w:rPr>
          <w:rFonts w:ascii="Times New Roman" w:hAnsi="Times New Roman"/>
          <w:spacing w:val="-2"/>
          <w:sz w:val="26"/>
          <w:szCs w:val="26"/>
        </w:rPr>
        <w:t>theo</w:t>
      </w:r>
      <w:proofErr w:type="gramEnd"/>
      <w:r w:rsidR="00C30FFA" w:rsidRPr="0044343B">
        <w:rPr>
          <w:rFonts w:ascii="Times New Roman" w:hAnsi="Times New Roman"/>
          <w:spacing w:val="-2"/>
          <w:sz w:val="26"/>
          <w:szCs w:val="26"/>
        </w:rPr>
        <w:t xml:space="preserve"> pháp luật của doanh nghiệp tại thời điểm doanh nghiệp bị đình chỉ hoạt động, bị buộc giải thể do vi phạm pháp luật nghiêm trọng, trừ trường hợp là đại diện theo đề nghị của cơ quan</w:t>
      </w:r>
      <w:r w:rsidR="00E8349E" w:rsidRPr="0044343B">
        <w:rPr>
          <w:rFonts w:ascii="Times New Roman" w:hAnsi="Times New Roman"/>
          <w:spacing w:val="-2"/>
          <w:sz w:val="26"/>
          <w:szCs w:val="26"/>
        </w:rPr>
        <w:t xml:space="preserve"> nhà nước có thẩm quyền nhằm chấn chỉnh, củng cố doanh nghiệp đó;</w:t>
      </w:r>
    </w:p>
    <w:p w:rsidR="00816CD6" w:rsidRDefault="00B820A1">
      <w:pPr>
        <w:spacing w:after="120" w:line="264" w:lineRule="auto"/>
        <w:ind w:firstLine="720"/>
        <w:jc w:val="both"/>
        <w:rPr>
          <w:rFonts w:ascii="Times New Roman" w:hAnsi="Times New Roman"/>
          <w:sz w:val="26"/>
          <w:szCs w:val="26"/>
          <w:vertAlign w:val="superscript"/>
        </w:rPr>
      </w:pPr>
      <w:r>
        <w:rPr>
          <w:rFonts w:ascii="Times New Roman" w:hAnsi="Times New Roman"/>
          <w:sz w:val="26"/>
          <w:szCs w:val="26"/>
        </w:rPr>
        <w:t xml:space="preserve">j) </w:t>
      </w:r>
      <w:r w:rsidR="00E8349E" w:rsidRPr="00B820A1">
        <w:rPr>
          <w:rFonts w:ascii="Times New Roman" w:hAnsi="Times New Roman"/>
          <w:sz w:val="26"/>
          <w:szCs w:val="26"/>
        </w:rPr>
        <w:t xml:space="preserve">Người đã từng bị đình chỉ chức danh Chủ tịch Hội đồng Quản trị, thành viên Hội đồng Quản trị, Chủ tịch Hội đồng thành viên, thành viên Hội đồng thành viên, Trưởng Ban kiểm soát, thành viên Ban Kiểm soát, Tổng Giám đốc (Giám đốc) của tổ chức tín dụng theo qui định tại Điều 37 của Luật các Tổ chức Tín dụng </w:t>
      </w:r>
      <w:r w:rsidR="00EA50D0">
        <w:rPr>
          <w:rFonts w:ascii="Times New Roman" w:hAnsi="Times New Roman"/>
          <w:sz w:val="26"/>
          <w:szCs w:val="26"/>
        </w:rPr>
        <w:t xml:space="preserve">năm </w:t>
      </w:r>
      <w:r w:rsidR="00E8349E" w:rsidRPr="00B820A1">
        <w:rPr>
          <w:rFonts w:ascii="Times New Roman" w:hAnsi="Times New Roman"/>
          <w:sz w:val="26"/>
          <w:szCs w:val="26"/>
        </w:rPr>
        <w:t>2010 hoặc bị các cơ quan có thẩm quyền các định người đó có vi phạm dẫn đến việc tổ chức tín dụng bị thu hồi Giấy phép;</w:t>
      </w:r>
    </w:p>
    <w:p w:rsidR="00816CD6" w:rsidRDefault="00E30F05">
      <w:pPr>
        <w:spacing w:after="120" w:line="264" w:lineRule="auto"/>
        <w:ind w:firstLine="720"/>
        <w:jc w:val="both"/>
        <w:rPr>
          <w:rFonts w:ascii="Times New Roman" w:hAnsi="Times New Roman"/>
          <w:spacing w:val="-2"/>
          <w:sz w:val="26"/>
          <w:szCs w:val="26"/>
        </w:rPr>
      </w:pPr>
      <w:r w:rsidRPr="00E30F05">
        <w:rPr>
          <w:rFonts w:ascii="Times New Roman" w:hAnsi="Times New Roman"/>
          <w:spacing w:val="-2"/>
          <w:sz w:val="26"/>
          <w:szCs w:val="26"/>
        </w:rPr>
        <w:t>k) Người phải chịu trách nhiệm theo kết luận thanh tra dẫn đến việc EVNFinance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p>
    <w:p w:rsidR="00816CD6" w:rsidRDefault="00B820A1">
      <w:pPr>
        <w:spacing w:after="120" w:line="264" w:lineRule="auto"/>
        <w:ind w:firstLine="720"/>
        <w:jc w:val="both"/>
        <w:rPr>
          <w:rFonts w:ascii="Times New Roman" w:hAnsi="Times New Roman"/>
          <w:sz w:val="26"/>
          <w:szCs w:val="26"/>
          <w:vertAlign w:val="superscript"/>
        </w:rPr>
      </w:pPr>
      <w:r>
        <w:rPr>
          <w:rFonts w:ascii="Times New Roman" w:hAnsi="Times New Roman"/>
          <w:sz w:val="26"/>
          <w:szCs w:val="26"/>
        </w:rPr>
        <w:t xml:space="preserve">l) </w:t>
      </w:r>
      <w:r w:rsidR="00E8349E" w:rsidRPr="00B820A1">
        <w:rPr>
          <w:rFonts w:ascii="Times New Roman" w:hAnsi="Times New Roman"/>
          <w:sz w:val="26"/>
          <w:szCs w:val="26"/>
        </w:rPr>
        <w:t xml:space="preserve">Các trường hợp khác </w:t>
      </w:r>
      <w:proofErr w:type="gramStart"/>
      <w:r w:rsidR="00E8349E" w:rsidRPr="00B820A1">
        <w:rPr>
          <w:rFonts w:ascii="Times New Roman" w:hAnsi="Times New Roman"/>
          <w:sz w:val="26"/>
          <w:szCs w:val="26"/>
        </w:rPr>
        <w:t>theo</w:t>
      </w:r>
      <w:proofErr w:type="gramEnd"/>
      <w:r w:rsidR="00E8349E" w:rsidRPr="00B820A1">
        <w:rPr>
          <w:rFonts w:ascii="Times New Roman" w:hAnsi="Times New Roman"/>
          <w:sz w:val="26"/>
          <w:szCs w:val="26"/>
        </w:rPr>
        <w:t xml:space="preserve"> </w:t>
      </w:r>
      <w:r w:rsidR="00EA50D0" w:rsidRPr="00B820A1">
        <w:rPr>
          <w:rFonts w:ascii="Times New Roman" w:hAnsi="Times New Roman"/>
          <w:sz w:val="26"/>
          <w:szCs w:val="26"/>
        </w:rPr>
        <w:t>qu</w:t>
      </w:r>
      <w:r w:rsidR="00EA50D0">
        <w:rPr>
          <w:rFonts w:ascii="Times New Roman" w:hAnsi="Times New Roman"/>
          <w:sz w:val="26"/>
          <w:szCs w:val="26"/>
        </w:rPr>
        <w:t>y</w:t>
      </w:r>
      <w:r w:rsidR="00EA50D0" w:rsidRPr="00B820A1">
        <w:rPr>
          <w:rFonts w:ascii="Times New Roman" w:hAnsi="Times New Roman"/>
          <w:sz w:val="26"/>
          <w:szCs w:val="26"/>
        </w:rPr>
        <w:t xml:space="preserve"> </w:t>
      </w:r>
      <w:r w:rsidR="00E8349E" w:rsidRPr="00B820A1">
        <w:rPr>
          <w:rFonts w:ascii="Times New Roman" w:hAnsi="Times New Roman"/>
          <w:sz w:val="26"/>
          <w:szCs w:val="26"/>
        </w:rPr>
        <w:t>định của pháp luật (nếu có).</w:t>
      </w:r>
    </w:p>
    <w:p w:rsidR="00816CD6" w:rsidRDefault="00B820A1">
      <w:pPr>
        <w:spacing w:after="120" w:line="264" w:lineRule="auto"/>
        <w:jc w:val="both"/>
        <w:rPr>
          <w:rFonts w:ascii="Times New Roman" w:hAnsi="Times New Roman"/>
          <w:b/>
          <w:i/>
          <w:sz w:val="26"/>
          <w:szCs w:val="26"/>
        </w:rPr>
      </w:pPr>
      <w:r w:rsidRPr="00B820A1">
        <w:rPr>
          <w:rFonts w:ascii="Times New Roman" w:hAnsi="Times New Roman"/>
          <w:b/>
          <w:i/>
          <w:sz w:val="26"/>
          <w:szCs w:val="26"/>
        </w:rPr>
        <w:t xml:space="preserve">2. </w:t>
      </w:r>
      <w:r w:rsidR="00E8349E" w:rsidRPr="00B820A1">
        <w:rPr>
          <w:rFonts w:ascii="Times New Roman" w:hAnsi="Times New Roman"/>
          <w:b/>
          <w:i/>
          <w:sz w:val="26"/>
          <w:szCs w:val="26"/>
        </w:rPr>
        <w:t xml:space="preserve"> Những trường hợp không cùng đảm nhiệm chức vụ</w:t>
      </w:r>
      <w:r w:rsidR="00E8349E" w:rsidRPr="00B820A1">
        <w:rPr>
          <w:rFonts w:ascii="Times New Roman" w:hAnsi="Times New Roman"/>
          <w:b/>
          <w:i/>
          <w:sz w:val="26"/>
          <w:szCs w:val="26"/>
          <w:vertAlign w:val="superscript"/>
        </w:rPr>
        <w:t>:</w:t>
      </w:r>
    </w:p>
    <w:p w:rsidR="00816CD6" w:rsidRDefault="00B820A1">
      <w:pPr>
        <w:spacing w:after="120" w:line="264" w:lineRule="auto"/>
        <w:jc w:val="both"/>
        <w:rPr>
          <w:rFonts w:ascii="Times New Roman" w:hAnsi="Times New Roman"/>
          <w:i/>
          <w:sz w:val="26"/>
          <w:szCs w:val="26"/>
        </w:rPr>
      </w:pPr>
      <w:r w:rsidRPr="00425475">
        <w:rPr>
          <w:rFonts w:ascii="Times New Roman" w:hAnsi="Times New Roman"/>
          <w:sz w:val="26"/>
          <w:szCs w:val="26"/>
        </w:rPr>
        <w:t xml:space="preserve">2.1. </w:t>
      </w:r>
      <w:r w:rsidR="00E8349E" w:rsidRPr="00425475">
        <w:rPr>
          <w:rFonts w:ascii="Times New Roman" w:hAnsi="Times New Roman"/>
          <w:sz w:val="26"/>
          <w:szCs w:val="26"/>
        </w:rPr>
        <w:t>Thành viên Hội đồng Quản trị của EVNF</w:t>
      </w:r>
      <w:r w:rsidR="000B5B0C">
        <w:rPr>
          <w:rFonts w:ascii="Times New Roman" w:hAnsi="Times New Roman"/>
          <w:sz w:val="26"/>
          <w:szCs w:val="26"/>
        </w:rPr>
        <w:t>inance</w:t>
      </w:r>
      <w:r w:rsidR="00E8349E" w:rsidRPr="0044343B">
        <w:rPr>
          <w:rFonts w:ascii="Times New Roman" w:hAnsi="Times New Roman"/>
          <w:i/>
          <w:sz w:val="26"/>
          <w:szCs w:val="26"/>
        </w:rPr>
        <w:t>:</w:t>
      </w:r>
    </w:p>
    <w:p w:rsidR="00816CD6" w:rsidRDefault="00E8349E">
      <w:pPr>
        <w:spacing w:after="120" w:line="264" w:lineRule="auto"/>
        <w:ind w:firstLine="720"/>
        <w:jc w:val="both"/>
        <w:rPr>
          <w:rFonts w:ascii="Times New Roman" w:hAnsi="Times New Roman"/>
          <w:sz w:val="26"/>
          <w:szCs w:val="26"/>
        </w:rPr>
      </w:pPr>
      <w:r>
        <w:rPr>
          <w:rFonts w:ascii="Times New Roman" w:hAnsi="Times New Roman"/>
          <w:sz w:val="26"/>
          <w:szCs w:val="26"/>
        </w:rPr>
        <w:t>a) Không được đồng thời là thành viên ban ki</w:t>
      </w:r>
      <w:r w:rsidR="00425475">
        <w:rPr>
          <w:rFonts w:ascii="Times New Roman" w:hAnsi="Times New Roman"/>
          <w:sz w:val="26"/>
          <w:szCs w:val="26"/>
        </w:rPr>
        <w:t>ể</w:t>
      </w:r>
      <w:r>
        <w:rPr>
          <w:rFonts w:ascii="Times New Roman" w:hAnsi="Times New Roman"/>
          <w:sz w:val="26"/>
          <w:szCs w:val="26"/>
        </w:rPr>
        <w:t>m soát của EVNF</w:t>
      </w:r>
      <w:r w:rsidR="000B5B0C">
        <w:rPr>
          <w:rFonts w:ascii="Times New Roman" w:hAnsi="Times New Roman"/>
          <w:sz w:val="26"/>
          <w:szCs w:val="26"/>
        </w:rPr>
        <w:t>inance</w:t>
      </w:r>
      <w:r>
        <w:rPr>
          <w:rFonts w:ascii="Times New Roman" w:hAnsi="Times New Roman"/>
          <w:sz w:val="26"/>
          <w:szCs w:val="26"/>
        </w:rPr>
        <w:t>;</w:t>
      </w:r>
    </w:p>
    <w:p w:rsidR="00816CD6" w:rsidRDefault="00E8349E">
      <w:pPr>
        <w:spacing w:after="120" w:line="264" w:lineRule="auto"/>
        <w:ind w:firstLine="720"/>
        <w:jc w:val="both"/>
        <w:rPr>
          <w:rFonts w:ascii="Times New Roman" w:hAnsi="Times New Roman"/>
          <w:sz w:val="26"/>
          <w:szCs w:val="26"/>
        </w:rPr>
      </w:pPr>
      <w:r>
        <w:rPr>
          <w:rFonts w:ascii="Times New Roman" w:hAnsi="Times New Roman"/>
          <w:sz w:val="26"/>
          <w:szCs w:val="26"/>
        </w:rPr>
        <w:t>b) Thành viên Hội đồng Quản trị của EVNF</w:t>
      </w:r>
      <w:r w:rsidR="000B5B0C">
        <w:rPr>
          <w:rFonts w:ascii="Times New Roman" w:hAnsi="Times New Roman"/>
          <w:sz w:val="26"/>
          <w:szCs w:val="26"/>
        </w:rPr>
        <w:t>inance</w:t>
      </w:r>
      <w:r>
        <w:rPr>
          <w:rFonts w:ascii="Times New Roman" w:hAnsi="Times New Roman"/>
          <w:sz w:val="26"/>
          <w:szCs w:val="26"/>
        </w:rPr>
        <w:t xml:space="preserve"> không được đồng thời là người quản lý của tổ</w:t>
      </w:r>
      <w:r w:rsidR="009D19E5">
        <w:rPr>
          <w:rFonts w:ascii="Times New Roman" w:hAnsi="Times New Roman"/>
          <w:sz w:val="26"/>
          <w:szCs w:val="26"/>
        </w:rPr>
        <w:t xml:space="preserve"> chức</w:t>
      </w:r>
      <w:r>
        <w:rPr>
          <w:rFonts w:ascii="Times New Roman" w:hAnsi="Times New Roman"/>
          <w:sz w:val="26"/>
          <w:szCs w:val="26"/>
        </w:rPr>
        <w:t xml:space="preserve"> tín dụng khác, trừ trường hợp tổ chức này là công ty con của EVNF</w:t>
      </w:r>
      <w:r w:rsidR="000B5B0C">
        <w:rPr>
          <w:rFonts w:ascii="Times New Roman" w:hAnsi="Times New Roman"/>
          <w:sz w:val="26"/>
          <w:szCs w:val="26"/>
        </w:rPr>
        <w:t>inance</w:t>
      </w:r>
      <w:r w:rsidR="009D19E5">
        <w:rPr>
          <w:rFonts w:ascii="Times New Roman" w:hAnsi="Times New Roman"/>
          <w:sz w:val="26"/>
          <w:szCs w:val="26"/>
        </w:rPr>
        <w:t xml:space="preserve"> hoặc là thành viên Ban Kiểm soát của tổ chức tín dụng đó;</w:t>
      </w:r>
    </w:p>
    <w:p w:rsidR="00816CD6" w:rsidRDefault="00721677">
      <w:pPr>
        <w:spacing w:after="120" w:line="264" w:lineRule="auto"/>
        <w:jc w:val="both"/>
        <w:rPr>
          <w:rFonts w:ascii="Times New Roman" w:hAnsi="Times New Roman"/>
          <w:b/>
          <w:i/>
          <w:sz w:val="26"/>
          <w:szCs w:val="26"/>
        </w:rPr>
      </w:pPr>
      <w:r w:rsidRPr="005F5B96">
        <w:rPr>
          <w:rFonts w:ascii="Times New Roman" w:hAnsi="Times New Roman"/>
          <w:b/>
          <w:i/>
          <w:sz w:val="26"/>
          <w:szCs w:val="26"/>
        </w:rPr>
        <w:t>3. Tiêu chuẩn, điều kiện khác đối v</w:t>
      </w:r>
      <w:r w:rsidR="005F5B96" w:rsidRPr="005F5B96">
        <w:rPr>
          <w:rFonts w:ascii="Times New Roman" w:hAnsi="Times New Roman"/>
          <w:b/>
          <w:i/>
          <w:sz w:val="26"/>
          <w:szCs w:val="26"/>
        </w:rPr>
        <w:t>ới thành viên Hội đồng Quản trị:</w:t>
      </w:r>
    </w:p>
    <w:p w:rsidR="00816CD6" w:rsidRDefault="005F5B96">
      <w:pPr>
        <w:spacing w:after="120" w:line="264" w:lineRule="auto"/>
        <w:ind w:firstLine="720"/>
        <w:jc w:val="both"/>
        <w:rPr>
          <w:rFonts w:ascii="Times New Roman" w:hAnsi="Times New Roman"/>
          <w:sz w:val="26"/>
          <w:szCs w:val="26"/>
        </w:rPr>
      </w:pPr>
      <w:r>
        <w:rPr>
          <w:rFonts w:ascii="Times New Roman" w:hAnsi="Times New Roman"/>
          <w:sz w:val="26"/>
          <w:szCs w:val="26"/>
        </w:rPr>
        <w:t>a) Có đạo đức nghề nghiệp;</w:t>
      </w:r>
    </w:p>
    <w:p w:rsidR="00816CD6" w:rsidRDefault="005F5B96">
      <w:pPr>
        <w:pStyle w:val="NormalWeb"/>
        <w:spacing w:before="0" w:beforeAutospacing="0" w:after="120" w:afterAutospacing="0" w:line="264" w:lineRule="auto"/>
        <w:ind w:left="360" w:firstLine="360"/>
        <w:jc w:val="both"/>
        <w:rPr>
          <w:sz w:val="26"/>
          <w:szCs w:val="26"/>
        </w:rPr>
      </w:pPr>
      <w:r>
        <w:rPr>
          <w:sz w:val="26"/>
          <w:szCs w:val="26"/>
        </w:rPr>
        <w:t>b</w:t>
      </w:r>
      <w:r w:rsidRPr="006C76DC">
        <w:rPr>
          <w:sz w:val="26"/>
          <w:szCs w:val="26"/>
        </w:rPr>
        <w:t>)</w:t>
      </w:r>
      <w:r w:rsidR="006C76DC" w:rsidRPr="006C76DC">
        <w:rPr>
          <w:sz w:val="26"/>
          <w:szCs w:val="26"/>
        </w:rPr>
        <w:t xml:space="preserve"> Các cổ đông hoặc nhóm cổ đông sử hữu từ 10% (mười phần trăm) tổng số cổ phần phổ thông trong thời gian liên tục ít nhất sáu tháng </w:t>
      </w:r>
      <w:proofErr w:type="gramStart"/>
      <w:r w:rsidR="006C76DC" w:rsidRPr="006C76DC">
        <w:rPr>
          <w:sz w:val="26"/>
          <w:szCs w:val="26"/>
        </w:rPr>
        <w:t>theo</w:t>
      </w:r>
      <w:proofErr w:type="gramEnd"/>
      <w:r w:rsidR="006C76DC" w:rsidRPr="006C76DC">
        <w:rPr>
          <w:sz w:val="26"/>
          <w:szCs w:val="26"/>
        </w:rPr>
        <w:t xml:space="preserve"> quy định của Điều lệ của Công ty có quyền đề cử người vào </w:t>
      </w:r>
      <w:r w:rsidR="006C76DC">
        <w:rPr>
          <w:sz w:val="26"/>
          <w:szCs w:val="26"/>
        </w:rPr>
        <w:t>Hội đồng quản trị</w:t>
      </w:r>
      <w:r w:rsidR="00EA50D0">
        <w:rPr>
          <w:sz w:val="26"/>
          <w:szCs w:val="26"/>
        </w:rPr>
        <w:t>;</w:t>
      </w:r>
    </w:p>
    <w:p w:rsidR="00816CD6" w:rsidRDefault="00EA50D0">
      <w:pPr>
        <w:pStyle w:val="NormalWeb"/>
        <w:spacing w:before="0" w:beforeAutospacing="0" w:after="120" w:afterAutospacing="0" w:line="264" w:lineRule="auto"/>
        <w:ind w:left="360" w:firstLine="360"/>
        <w:jc w:val="both"/>
        <w:rPr>
          <w:sz w:val="26"/>
          <w:szCs w:val="26"/>
        </w:rPr>
      </w:pPr>
      <w:r>
        <w:rPr>
          <w:sz w:val="26"/>
          <w:szCs w:val="26"/>
        </w:rPr>
        <w:t>c) Có bằng đại học trở lên.</w:t>
      </w:r>
    </w:p>
    <w:p w:rsidR="00816CD6" w:rsidRDefault="00EA50D0">
      <w:pPr>
        <w:pStyle w:val="NormalWeb"/>
        <w:spacing w:before="0" w:beforeAutospacing="0" w:after="120" w:afterAutospacing="0" w:line="264" w:lineRule="auto"/>
        <w:ind w:left="360" w:firstLine="360"/>
        <w:jc w:val="both"/>
      </w:pPr>
      <w:r>
        <w:rPr>
          <w:sz w:val="26"/>
          <w:szCs w:val="26"/>
        </w:rPr>
        <w:t xml:space="preserve">d) </w:t>
      </w:r>
      <w:r w:rsidRPr="00EA50D0">
        <w:rPr>
          <w:sz w:val="26"/>
          <w:szCs w:val="26"/>
        </w:rPr>
        <w:t xml:space="preserve">Có ít nhất 03 năm là người quản lý, người điều hành của </w:t>
      </w:r>
      <w:r w:rsidR="00824842">
        <w:rPr>
          <w:sz w:val="26"/>
          <w:szCs w:val="26"/>
        </w:rPr>
        <w:t>EVNFinance</w:t>
      </w:r>
      <w:r w:rsidRPr="00EA50D0">
        <w:rPr>
          <w:sz w:val="26"/>
          <w:szCs w:val="26"/>
        </w:rPr>
        <w:t xml:space="preserve"> hoặc có ít nhất 05 năm là người quản lý, người điều hành của doanh nghiệp hoạt động trong ngành tài chính, ngân hàng, kế toán, kiểm toán hoặc của doanh nghiệp khác có vốn chủ sở hữu tối thiểu bằng mức vốn pháp định đối với loại hình tổ chức tín dụng tương ứng hoặc có ít nhất 05 năm làm việc trực tiếp tại bộ phận nghiệp vụ về tài chính, ngân hàng, kế toán, kiểm toán</w:t>
      </w:r>
    </w:p>
    <w:p w:rsidR="00816CD6" w:rsidRDefault="0033609D">
      <w:pPr>
        <w:spacing w:after="120" w:line="264" w:lineRule="auto"/>
        <w:jc w:val="both"/>
        <w:rPr>
          <w:rFonts w:ascii="Times New Roman" w:hAnsi="Times New Roman"/>
          <w:b/>
          <w:sz w:val="26"/>
          <w:szCs w:val="26"/>
        </w:rPr>
      </w:pPr>
      <w:r>
        <w:rPr>
          <w:rFonts w:ascii="Times New Roman" w:hAnsi="Times New Roman"/>
          <w:b/>
          <w:sz w:val="26"/>
          <w:szCs w:val="26"/>
        </w:rPr>
        <w:t>I</w:t>
      </w:r>
      <w:r w:rsidR="009D5F56">
        <w:rPr>
          <w:rFonts w:ascii="Times New Roman" w:hAnsi="Times New Roman"/>
          <w:b/>
          <w:sz w:val="26"/>
          <w:szCs w:val="26"/>
        </w:rPr>
        <w:t>I</w:t>
      </w:r>
      <w:r>
        <w:rPr>
          <w:rFonts w:ascii="Times New Roman" w:hAnsi="Times New Roman"/>
          <w:b/>
          <w:sz w:val="26"/>
          <w:szCs w:val="26"/>
        </w:rPr>
        <w:t xml:space="preserve">. </w:t>
      </w:r>
      <w:r w:rsidR="009C4498" w:rsidRPr="0033609D">
        <w:rPr>
          <w:rFonts w:ascii="Times New Roman" w:hAnsi="Times New Roman"/>
          <w:b/>
          <w:sz w:val="26"/>
          <w:szCs w:val="26"/>
        </w:rPr>
        <w:t>Quyền đề cử, ứng cử</w:t>
      </w:r>
      <w:r w:rsidR="00680129">
        <w:rPr>
          <w:rFonts w:ascii="Times New Roman" w:hAnsi="Times New Roman"/>
          <w:b/>
          <w:sz w:val="26"/>
          <w:szCs w:val="26"/>
        </w:rPr>
        <w:t>:</w:t>
      </w:r>
    </w:p>
    <w:p w:rsidR="00816CD6" w:rsidRDefault="00680129">
      <w:pPr>
        <w:pStyle w:val="NormalWeb"/>
        <w:spacing w:before="0" w:beforeAutospacing="0" w:after="120" w:afterAutospacing="0" w:line="264" w:lineRule="auto"/>
        <w:jc w:val="both"/>
        <w:rPr>
          <w:sz w:val="26"/>
          <w:szCs w:val="26"/>
        </w:rPr>
      </w:pPr>
      <w:r>
        <w:rPr>
          <w:b/>
          <w:sz w:val="26"/>
          <w:szCs w:val="26"/>
        </w:rPr>
        <w:lastRenderedPageBreak/>
        <w:tab/>
      </w:r>
      <w:r w:rsidRPr="00680129">
        <w:rPr>
          <w:sz w:val="26"/>
          <w:szCs w:val="26"/>
        </w:rPr>
        <w:t>Việc đề cử, ứng cử chức danh Thành viên Hội đồng quản trị được thực hiện theo quy định tại Luật các tổ chức tín dụng năm 2010, Luật sửa đổi, bổ sung một số điều của Luật các Tổ chức tín dụng năm 2017, Luật Doanh nghiệp năm 2014</w:t>
      </w:r>
      <w:r w:rsidR="006C76DC">
        <w:rPr>
          <w:sz w:val="26"/>
          <w:szCs w:val="26"/>
        </w:rPr>
        <w:t xml:space="preserve"> và Điều lệ EVNFinance.</w:t>
      </w:r>
    </w:p>
    <w:p w:rsidR="00816CD6" w:rsidRDefault="00680129">
      <w:pPr>
        <w:pStyle w:val="NormalWeb"/>
        <w:spacing w:before="0" w:beforeAutospacing="0" w:after="120" w:afterAutospacing="0" w:line="264" w:lineRule="auto"/>
        <w:ind w:left="90" w:firstLine="630"/>
        <w:jc w:val="both"/>
        <w:rPr>
          <w:b/>
          <w:sz w:val="26"/>
          <w:szCs w:val="26"/>
        </w:rPr>
      </w:pPr>
      <w:r w:rsidRPr="00680129">
        <w:rPr>
          <w:sz w:val="26"/>
          <w:szCs w:val="26"/>
        </w:rPr>
        <w:t>Trường hợp cổ đông không đề cử đủ số lượng ứng</w:t>
      </w:r>
      <w:r w:rsidR="006C76DC">
        <w:rPr>
          <w:sz w:val="26"/>
          <w:szCs w:val="26"/>
        </w:rPr>
        <w:t xml:space="preserve"> cử viên đối với thành viên Hội </w:t>
      </w:r>
      <w:r w:rsidRPr="00680129">
        <w:rPr>
          <w:sz w:val="26"/>
          <w:szCs w:val="26"/>
        </w:rPr>
        <w:t xml:space="preserve">đồng quản trị hoặc các ứng cử viên không đảm bảo đủ điều kiện, tiêu chuẩn </w:t>
      </w:r>
      <w:proofErr w:type="gramStart"/>
      <w:r w:rsidRPr="00680129">
        <w:rPr>
          <w:sz w:val="26"/>
          <w:szCs w:val="26"/>
        </w:rPr>
        <w:t>theo</w:t>
      </w:r>
      <w:proofErr w:type="gramEnd"/>
      <w:r w:rsidRPr="00680129">
        <w:rPr>
          <w:sz w:val="26"/>
          <w:szCs w:val="26"/>
        </w:rPr>
        <w:t xml:space="preserve"> quy định, Hội đồng quản trị sẽ đề cử ứng cử viên bổ sung, thay thế đối với các chức danh này.</w:t>
      </w:r>
    </w:p>
    <w:p w:rsidR="00816CD6" w:rsidRDefault="0033609D">
      <w:pPr>
        <w:pStyle w:val="NormalWeb"/>
        <w:spacing w:before="0" w:beforeAutospacing="0" w:after="120" w:afterAutospacing="0" w:line="264" w:lineRule="auto"/>
        <w:jc w:val="both"/>
        <w:rPr>
          <w:rStyle w:val="Strong"/>
          <w:rFonts w:asciiTheme="minorHAnsi" w:eastAsiaTheme="minorHAnsi" w:hAnsiTheme="minorHAnsi" w:cstheme="minorBidi"/>
          <w:i/>
          <w:sz w:val="26"/>
          <w:szCs w:val="26"/>
        </w:rPr>
      </w:pPr>
      <w:r>
        <w:rPr>
          <w:b/>
          <w:sz w:val="26"/>
          <w:szCs w:val="26"/>
        </w:rPr>
        <w:t>I</w:t>
      </w:r>
      <w:r w:rsidR="009D5F56">
        <w:rPr>
          <w:b/>
          <w:sz w:val="26"/>
          <w:szCs w:val="26"/>
        </w:rPr>
        <w:t>II</w:t>
      </w:r>
      <w:r w:rsidRPr="00B556A0">
        <w:rPr>
          <w:b/>
          <w:sz w:val="26"/>
          <w:szCs w:val="26"/>
        </w:rPr>
        <w:t xml:space="preserve">. </w:t>
      </w:r>
      <w:r w:rsidR="00B556A0" w:rsidRPr="00B556A0">
        <w:rPr>
          <w:rStyle w:val="Strong"/>
          <w:sz w:val="26"/>
          <w:szCs w:val="26"/>
        </w:rPr>
        <w:t xml:space="preserve">Hồ </w:t>
      </w:r>
      <w:proofErr w:type="gramStart"/>
      <w:r w:rsidR="00B556A0" w:rsidRPr="00B556A0">
        <w:rPr>
          <w:rStyle w:val="Strong"/>
          <w:sz w:val="26"/>
          <w:szCs w:val="26"/>
        </w:rPr>
        <w:t>sơ</w:t>
      </w:r>
      <w:proofErr w:type="gramEnd"/>
      <w:r w:rsidR="00B556A0" w:rsidRPr="00B556A0">
        <w:rPr>
          <w:rStyle w:val="Strong"/>
          <w:sz w:val="26"/>
          <w:szCs w:val="26"/>
        </w:rPr>
        <w:t xml:space="preserve"> đề cử ứng cử thành viên HĐQT: </w:t>
      </w:r>
      <w:r w:rsidR="00B556A0" w:rsidRPr="00B556A0">
        <w:rPr>
          <w:rStyle w:val="Strong"/>
          <w:i/>
          <w:sz w:val="26"/>
          <w:szCs w:val="26"/>
        </w:rPr>
        <w:t xml:space="preserve">Các mẫu chi tiết xin xem trên website của Công ty: http://www.evnfc.vn </w:t>
      </w:r>
    </w:p>
    <w:p w:rsidR="00816CD6" w:rsidRDefault="00B556A0">
      <w:pPr>
        <w:pStyle w:val="NormalWeb"/>
        <w:numPr>
          <w:ilvl w:val="0"/>
          <w:numId w:val="12"/>
        </w:numPr>
        <w:spacing w:before="0" w:beforeAutospacing="0" w:after="120" w:afterAutospacing="0" w:line="264" w:lineRule="auto"/>
        <w:jc w:val="both"/>
        <w:rPr>
          <w:sz w:val="26"/>
          <w:szCs w:val="26"/>
        </w:rPr>
      </w:pPr>
      <w:r w:rsidRPr="00B556A0">
        <w:rPr>
          <w:sz w:val="26"/>
          <w:szCs w:val="26"/>
        </w:rPr>
        <w:t xml:space="preserve">Thông báo về việc lập nhóm cổ đông và danh sách đề cử, ứng cử </w:t>
      </w:r>
      <w:proofErr w:type="gramStart"/>
      <w:r w:rsidRPr="00B556A0">
        <w:rPr>
          <w:sz w:val="26"/>
          <w:szCs w:val="26"/>
        </w:rPr>
        <w:t xml:space="preserve">( </w:t>
      </w:r>
      <w:r w:rsidRPr="00B556A0">
        <w:rPr>
          <w:rStyle w:val="Strong"/>
          <w:sz w:val="26"/>
          <w:szCs w:val="26"/>
        </w:rPr>
        <w:t>Mẫu</w:t>
      </w:r>
      <w:proofErr w:type="gramEnd"/>
      <w:r w:rsidRPr="00B556A0">
        <w:rPr>
          <w:rStyle w:val="Strong"/>
          <w:sz w:val="26"/>
          <w:szCs w:val="26"/>
        </w:rPr>
        <w:t xml:space="preserve"> 1 </w:t>
      </w:r>
      <w:r w:rsidRPr="00B556A0">
        <w:rPr>
          <w:sz w:val="26"/>
          <w:szCs w:val="26"/>
        </w:rPr>
        <w:t>)</w:t>
      </w:r>
      <w:r w:rsidR="000B7A91">
        <w:rPr>
          <w:sz w:val="26"/>
          <w:szCs w:val="26"/>
        </w:rPr>
        <w:t xml:space="preserve"> và Hợp đồng ủy quyền</w:t>
      </w:r>
      <w:r w:rsidR="009809D7">
        <w:rPr>
          <w:sz w:val="26"/>
          <w:szCs w:val="26"/>
        </w:rPr>
        <w:t xml:space="preserve"> (</w:t>
      </w:r>
      <w:r w:rsidR="002B6B3F">
        <w:rPr>
          <w:sz w:val="26"/>
          <w:szCs w:val="26"/>
        </w:rPr>
        <w:t>công chứng</w:t>
      </w:r>
      <w:r w:rsidR="00F66400">
        <w:rPr>
          <w:sz w:val="26"/>
          <w:szCs w:val="26"/>
        </w:rPr>
        <w:t>, chứng thực</w:t>
      </w:r>
      <w:r w:rsidR="009809D7">
        <w:rPr>
          <w:sz w:val="26"/>
          <w:szCs w:val="26"/>
        </w:rPr>
        <w:t xml:space="preserve"> theo quy định)</w:t>
      </w:r>
      <w:r w:rsidR="002B6B3F">
        <w:rPr>
          <w:sz w:val="26"/>
          <w:szCs w:val="26"/>
        </w:rPr>
        <w:t xml:space="preserve"> </w:t>
      </w:r>
      <w:r w:rsidR="00E30F05" w:rsidRPr="00E30F05">
        <w:rPr>
          <w:b/>
          <w:sz w:val="26"/>
          <w:szCs w:val="26"/>
        </w:rPr>
        <w:t>(Mẫu 5).</w:t>
      </w:r>
    </w:p>
    <w:p w:rsidR="00816CD6" w:rsidRDefault="00B556A0">
      <w:pPr>
        <w:pStyle w:val="NormalWeb"/>
        <w:numPr>
          <w:ilvl w:val="0"/>
          <w:numId w:val="12"/>
        </w:numPr>
        <w:spacing w:before="0" w:beforeAutospacing="0" w:after="120" w:afterAutospacing="0" w:line="264" w:lineRule="auto"/>
        <w:jc w:val="both"/>
        <w:rPr>
          <w:sz w:val="26"/>
          <w:szCs w:val="26"/>
        </w:rPr>
      </w:pPr>
      <w:r w:rsidRPr="00B556A0">
        <w:rPr>
          <w:sz w:val="26"/>
          <w:szCs w:val="26"/>
        </w:rPr>
        <w:t xml:space="preserve">Lý lịch cá nhân của ứng cử viên. </w:t>
      </w:r>
      <w:proofErr w:type="gramStart"/>
      <w:r w:rsidRPr="00B556A0">
        <w:rPr>
          <w:sz w:val="26"/>
          <w:szCs w:val="26"/>
        </w:rPr>
        <w:t xml:space="preserve">( </w:t>
      </w:r>
      <w:r w:rsidRPr="00B556A0">
        <w:rPr>
          <w:rStyle w:val="Strong"/>
          <w:sz w:val="26"/>
          <w:szCs w:val="26"/>
        </w:rPr>
        <w:t>Mẫu</w:t>
      </w:r>
      <w:proofErr w:type="gramEnd"/>
      <w:r w:rsidRPr="00B556A0">
        <w:rPr>
          <w:rStyle w:val="Strong"/>
          <w:sz w:val="26"/>
          <w:szCs w:val="26"/>
        </w:rPr>
        <w:t xml:space="preserve"> 2 </w:t>
      </w:r>
      <w:r w:rsidRPr="00B556A0">
        <w:rPr>
          <w:sz w:val="26"/>
          <w:szCs w:val="26"/>
        </w:rPr>
        <w:t>).</w:t>
      </w:r>
    </w:p>
    <w:p w:rsidR="00816CD6" w:rsidRDefault="00B556A0">
      <w:pPr>
        <w:pStyle w:val="NormalWeb"/>
        <w:numPr>
          <w:ilvl w:val="0"/>
          <w:numId w:val="12"/>
        </w:numPr>
        <w:spacing w:before="0" w:beforeAutospacing="0" w:after="120" w:afterAutospacing="0" w:line="264" w:lineRule="auto"/>
        <w:jc w:val="both"/>
        <w:rPr>
          <w:sz w:val="26"/>
          <w:szCs w:val="26"/>
        </w:rPr>
      </w:pPr>
      <w:r w:rsidRPr="00B556A0">
        <w:rPr>
          <w:sz w:val="26"/>
          <w:szCs w:val="26"/>
        </w:rPr>
        <w:t>Phiếu lý lịch tư pháp của ứng cử viên</w:t>
      </w:r>
      <w:r w:rsidR="008A38FF">
        <w:rPr>
          <w:sz w:val="26"/>
          <w:szCs w:val="26"/>
        </w:rPr>
        <w:t xml:space="preserve">, trong đó phải có đầy đủ thông tin về </w:t>
      </w:r>
      <w:proofErr w:type="gramStart"/>
      <w:r w:rsidR="008A38FF">
        <w:rPr>
          <w:sz w:val="26"/>
          <w:szCs w:val="26"/>
        </w:rPr>
        <w:t>án</w:t>
      </w:r>
      <w:proofErr w:type="gramEnd"/>
      <w:r w:rsidR="008A38FF">
        <w:rPr>
          <w:sz w:val="26"/>
          <w:szCs w:val="26"/>
        </w:rPr>
        <w:t xml:space="preserve"> tích (bao gồm án tích đã được xóa và án tích chưa được xóa)</w:t>
      </w:r>
      <w:r w:rsidRPr="00B556A0">
        <w:rPr>
          <w:sz w:val="26"/>
          <w:szCs w:val="26"/>
        </w:rPr>
        <w:t xml:space="preserve">. </w:t>
      </w:r>
    </w:p>
    <w:p w:rsidR="00816CD6" w:rsidRDefault="00E30F05">
      <w:pPr>
        <w:pStyle w:val="NormalWeb"/>
        <w:spacing w:before="0" w:beforeAutospacing="0" w:after="120" w:afterAutospacing="0" w:line="264" w:lineRule="auto"/>
        <w:ind w:left="720"/>
        <w:jc w:val="both"/>
        <w:rPr>
          <w:sz w:val="26"/>
          <w:szCs w:val="26"/>
        </w:rPr>
      </w:pPr>
      <w:proofErr w:type="gramStart"/>
      <w:r w:rsidRPr="00E30F05">
        <w:rPr>
          <w:sz w:val="26"/>
          <w:szCs w:val="26"/>
        </w:rPr>
        <w:t>Trườ</w:t>
      </w:r>
      <w:r w:rsidR="008A38FF">
        <w:rPr>
          <w:sz w:val="26"/>
          <w:szCs w:val="26"/>
        </w:rPr>
        <w:t>ng hợp người được bầu không có quốc tịch Việt Nam, Phiếu lí lịch tư pháp (hoặc văn bản có giá trị tương đương) phải được cơ quan có thẩm quyền của nước mà người nước ngoài trước khi đến Việt Nam cấp.</w:t>
      </w:r>
      <w:proofErr w:type="gramEnd"/>
      <w:r w:rsidR="008A38FF">
        <w:rPr>
          <w:sz w:val="26"/>
          <w:szCs w:val="26"/>
        </w:rPr>
        <w:t xml:space="preserve"> Trường hợp người nước ngoài hiện đã cư trú tại Việt Nam từ đủ 06 tháng trở lên, Phiếu lý lịch tư pháp do cơ quan quản lý cơ sở dữ liệu lý lịch tư pháp tại Việt Nam nơi người nước ngoài đang cư trú cấp.</w:t>
      </w:r>
    </w:p>
    <w:p w:rsidR="00816CD6" w:rsidRDefault="00B556A0">
      <w:pPr>
        <w:pStyle w:val="NormalWeb"/>
        <w:numPr>
          <w:ilvl w:val="0"/>
          <w:numId w:val="12"/>
        </w:numPr>
        <w:spacing w:before="0" w:beforeAutospacing="0" w:after="120" w:afterAutospacing="0" w:line="264" w:lineRule="auto"/>
        <w:jc w:val="both"/>
        <w:rPr>
          <w:sz w:val="26"/>
          <w:szCs w:val="26"/>
        </w:rPr>
      </w:pPr>
      <w:r w:rsidRPr="00B556A0">
        <w:rPr>
          <w:sz w:val="26"/>
          <w:szCs w:val="26"/>
        </w:rPr>
        <w:t>Bản sao có chứng thực các văn bằng, chứng chỉ chứng minh trình độ chuyên môn của ứng cử viên. Trường hợp văn bằng, chứng chỉ bằng tiếng nước ngoài thì phải dịch sang tiếng Việt và có chứng thực.</w:t>
      </w:r>
    </w:p>
    <w:p w:rsidR="00816CD6" w:rsidRDefault="00B556A0">
      <w:pPr>
        <w:pStyle w:val="NormalWeb"/>
        <w:numPr>
          <w:ilvl w:val="0"/>
          <w:numId w:val="12"/>
        </w:numPr>
        <w:spacing w:before="0" w:beforeAutospacing="0" w:after="120" w:afterAutospacing="0" w:line="264" w:lineRule="auto"/>
        <w:jc w:val="both"/>
        <w:rPr>
          <w:sz w:val="26"/>
          <w:szCs w:val="26"/>
        </w:rPr>
      </w:pPr>
      <w:r w:rsidRPr="00B556A0">
        <w:rPr>
          <w:sz w:val="26"/>
          <w:szCs w:val="26"/>
        </w:rPr>
        <w:t>Văn bản (nghị quyết, quyết định…)</w:t>
      </w:r>
      <w:r w:rsidR="009809D7">
        <w:rPr>
          <w:sz w:val="26"/>
          <w:szCs w:val="26"/>
        </w:rPr>
        <w:t xml:space="preserve"> (bản có dấu đỏ hoặc có công chứng/chứng thực </w:t>
      </w:r>
      <w:proofErr w:type="gramStart"/>
      <w:r w:rsidR="009809D7">
        <w:rPr>
          <w:sz w:val="26"/>
          <w:szCs w:val="26"/>
        </w:rPr>
        <w:t>theo</w:t>
      </w:r>
      <w:proofErr w:type="gramEnd"/>
      <w:r w:rsidR="009809D7">
        <w:rPr>
          <w:sz w:val="26"/>
          <w:szCs w:val="26"/>
        </w:rPr>
        <w:t xml:space="preserve"> quy định)</w:t>
      </w:r>
      <w:r w:rsidRPr="00B556A0">
        <w:rPr>
          <w:sz w:val="26"/>
          <w:szCs w:val="26"/>
        </w:rPr>
        <w:t xml:space="preserve"> của cấp có thẩm quyền (HĐQT, HĐTV…) của tổ chức về việc đề cử người đại diện quản lý phần vốn góp của tổ chức tại EVNFinance làm thành viên HĐQT, thành viên Ban Kiểm soát (nếu có).</w:t>
      </w:r>
    </w:p>
    <w:p w:rsidR="00816CD6" w:rsidRDefault="00B556A0">
      <w:pPr>
        <w:pStyle w:val="NormalWeb"/>
        <w:numPr>
          <w:ilvl w:val="0"/>
          <w:numId w:val="12"/>
        </w:numPr>
        <w:spacing w:before="0" w:beforeAutospacing="0" w:after="120" w:afterAutospacing="0" w:line="264" w:lineRule="auto"/>
        <w:jc w:val="both"/>
        <w:rPr>
          <w:sz w:val="26"/>
          <w:szCs w:val="26"/>
        </w:rPr>
      </w:pPr>
      <w:r w:rsidRPr="00B556A0">
        <w:rPr>
          <w:sz w:val="26"/>
          <w:szCs w:val="26"/>
        </w:rPr>
        <w:t xml:space="preserve">Báo cáo công khai lợi ích liên quan của ứng cử viên. </w:t>
      </w:r>
      <w:proofErr w:type="gramStart"/>
      <w:r w:rsidRPr="00B556A0">
        <w:rPr>
          <w:sz w:val="26"/>
          <w:szCs w:val="26"/>
        </w:rPr>
        <w:t xml:space="preserve">( </w:t>
      </w:r>
      <w:r w:rsidRPr="00B556A0">
        <w:rPr>
          <w:rStyle w:val="Strong"/>
          <w:sz w:val="26"/>
          <w:szCs w:val="26"/>
        </w:rPr>
        <w:t>Mẫu</w:t>
      </w:r>
      <w:proofErr w:type="gramEnd"/>
      <w:r w:rsidRPr="00B556A0">
        <w:rPr>
          <w:rStyle w:val="Strong"/>
          <w:sz w:val="26"/>
          <w:szCs w:val="26"/>
        </w:rPr>
        <w:t xml:space="preserve"> 3</w:t>
      </w:r>
      <w:r w:rsidRPr="00B556A0">
        <w:rPr>
          <w:sz w:val="26"/>
          <w:szCs w:val="26"/>
        </w:rPr>
        <w:t>).</w:t>
      </w:r>
    </w:p>
    <w:p w:rsidR="00816CD6" w:rsidRDefault="00B556A0">
      <w:pPr>
        <w:pStyle w:val="NormalWeb"/>
        <w:numPr>
          <w:ilvl w:val="0"/>
          <w:numId w:val="12"/>
        </w:numPr>
        <w:spacing w:before="0" w:beforeAutospacing="0" w:after="120" w:afterAutospacing="0" w:line="264" w:lineRule="auto"/>
        <w:jc w:val="both"/>
        <w:rPr>
          <w:sz w:val="26"/>
          <w:szCs w:val="26"/>
        </w:rPr>
      </w:pPr>
      <w:r w:rsidRPr="00B556A0">
        <w:rPr>
          <w:sz w:val="26"/>
          <w:szCs w:val="26"/>
        </w:rPr>
        <w:t>Bản khai người có liên quan của ứng cử viên. (</w:t>
      </w:r>
      <w:hyperlink r:id="rId10" w:history="1">
        <w:r w:rsidRPr="00B556A0">
          <w:rPr>
            <w:rStyle w:val="Hyperlink"/>
            <w:sz w:val="26"/>
            <w:szCs w:val="26"/>
          </w:rPr>
          <w:t xml:space="preserve"> </w:t>
        </w:r>
      </w:hyperlink>
      <w:r w:rsidRPr="00B556A0">
        <w:rPr>
          <w:rStyle w:val="Strong"/>
          <w:sz w:val="26"/>
          <w:szCs w:val="26"/>
        </w:rPr>
        <w:t>Mẫu 4</w:t>
      </w:r>
      <w:hyperlink r:id="rId11" w:history="1">
        <w:r w:rsidRPr="00B556A0">
          <w:rPr>
            <w:rStyle w:val="Strong"/>
            <w:sz w:val="26"/>
            <w:szCs w:val="26"/>
          </w:rPr>
          <w:t xml:space="preserve"> </w:t>
        </w:r>
      </w:hyperlink>
      <w:r w:rsidRPr="00B556A0">
        <w:rPr>
          <w:sz w:val="26"/>
          <w:szCs w:val="26"/>
        </w:rPr>
        <w:t>).</w:t>
      </w:r>
    </w:p>
    <w:p w:rsidR="00816CD6" w:rsidRDefault="00B556A0">
      <w:pPr>
        <w:pStyle w:val="NormalWeb"/>
        <w:numPr>
          <w:ilvl w:val="0"/>
          <w:numId w:val="12"/>
        </w:numPr>
        <w:spacing w:before="0" w:beforeAutospacing="0" w:after="120" w:afterAutospacing="0" w:line="264" w:lineRule="auto"/>
        <w:jc w:val="both"/>
        <w:rPr>
          <w:sz w:val="26"/>
          <w:szCs w:val="26"/>
        </w:rPr>
      </w:pPr>
      <w:r w:rsidRPr="00B556A0">
        <w:rPr>
          <w:sz w:val="26"/>
          <w:szCs w:val="26"/>
        </w:rPr>
        <w:t xml:space="preserve">Các văn bản khác chứng minh ứng cử viên đủ các điều kiện, tiêu chuẩn </w:t>
      </w:r>
      <w:proofErr w:type="gramStart"/>
      <w:r w:rsidRPr="00B556A0">
        <w:rPr>
          <w:sz w:val="26"/>
          <w:szCs w:val="26"/>
        </w:rPr>
        <w:t>theo</w:t>
      </w:r>
      <w:proofErr w:type="gramEnd"/>
      <w:r w:rsidRPr="00B556A0">
        <w:rPr>
          <w:sz w:val="26"/>
          <w:szCs w:val="26"/>
        </w:rPr>
        <w:t xml:space="preserve"> Thông báo của HĐQT EVNFinance (nếu có).</w:t>
      </w:r>
    </w:p>
    <w:p w:rsidR="00816CD6" w:rsidRDefault="00816CD6">
      <w:pPr>
        <w:pStyle w:val="NormalWeb"/>
        <w:spacing w:before="60" w:beforeAutospacing="0" w:after="60" w:afterAutospacing="0" w:line="312" w:lineRule="auto"/>
        <w:ind w:left="720"/>
        <w:jc w:val="both"/>
        <w:rPr>
          <w:sz w:val="26"/>
          <w:szCs w:val="26"/>
        </w:rPr>
      </w:pPr>
    </w:p>
    <w:p w:rsidR="00B556A0" w:rsidRDefault="00B556A0" w:rsidP="00386860">
      <w:pPr>
        <w:spacing w:before="120" w:after="0" w:line="240" w:lineRule="auto"/>
        <w:jc w:val="both"/>
        <w:rPr>
          <w:rFonts w:ascii="Times New Roman" w:hAnsi="Times New Roman"/>
          <w:b/>
          <w:sz w:val="26"/>
          <w:szCs w:val="26"/>
        </w:rPr>
      </w:pPr>
    </w:p>
    <w:p w:rsidR="00B556A0" w:rsidRDefault="00B556A0" w:rsidP="00386860">
      <w:pPr>
        <w:spacing w:before="120" w:after="0" w:line="240" w:lineRule="auto"/>
        <w:jc w:val="both"/>
        <w:rPr>
          <w:rFonts w:ascii="Times New Roman" w:hAnsi="Times New Roman"/>
          <w:b/>
          <w:sz w:val="26"/>
          <w:szCs w:val="26"/>
        </w:rPr>
      </w:pPr>
    </w:p>
    <w:p w:rsidR="007D1D80" w:rsidRPr="0033609D" w:rsidRDefault="007D1D80" w:rsidP="007D1D80">
      <w:pPr>
        <w:spacing w:after="0" w:line="360" w:lineRule="exact"/>
        <w:jc w:val="both"/>
        <w:rPr>
          <w:rFonts w:ascii="Times New Roman" w:hAnsi="Times New Roman"/>
          <w:sz w:val="26"/>
          <w:szCs w:val="26"/>
        </w:rPr>
      </w:pPr>
    </w:p>
    <w:p w:rsidR="009C4498" w:rsidRPr="009C4498" w:rsidRDefault="009C4498" w:rsidP="00E8349E">
      <w:pPr>
        <w:spacing w:after="0" w:line="360" w:lineRule="exact"/>
        <w:ind w:left="2160"/>
        <w:jc w:val="both"/>
        <w:rPr>
          <w:rFonts w:ascii="Times New Roman" w:hAnsi="Times New Roman"/>
          <w:b/>
          <w:i/>
          <w:sz w:val="26"/>
          <w:szCs w:val="26"/>
        </w:rPr>
      </w:pPr>
    </w:p>
    <w:p w:rsidR="009C4498" w:rsidRPr="009C4498" w:rsidRDefault="009C4498" w:rsidP="00E8349E">
      <w:pPr>
        <w:spacing w:after="0" w:line="360" w:lineRule="exact"/>
        <w:ind w:left="2160"/>
        <w:jc w:val="both"/>
        <w:rPr>
          <w:rFonts w:ascii="Times New Roman" w:hAnsi="Times New Roman"/>
          <w:b/>
          <w:i/>
          <w:sz w:val="26"/>
          <w:szCs w:val="26"/>
        </w:rPr>
      </w:pPr>
    </w:p>
    <w:p w:rsidR="005F5B96" w:rsidRPr="005F5B96" w:rsidRDefault="005F5B96" w:rsidP="00E8349E">
      <w:pPr>
        <w:spacing w:after="0" w:line="360" w:lineRule="exact"/>
        <w:ind w:left="2160"/>
        <w:jc w:val="both"/>
        <w:rPr>
          <w:rFonts w:ascii="Times New Roman" w:hAnsi="Times New Roman"/>
          <w:sz w:val="26"/>
          <w:szCs w:val="26"/>
        </w:rPr>
      </w:pPr>
    </w:p>
    <w:p w:rsidR="00E8349E" w:rsidRPr="00D122BA" w:rsidRDefault="00E8349E" w:rsidP="00E8349E">
      <w:pPr>
        <w:pStyle w:val="ListParagraph"/>
        <w:spacing w:after="0" w:line="360" w:lineRule="exact"/>
        <w:ind w:left="2520"/>
        <w:jc w:val="both"/>
        <w:rPr>
          <w:rFonts w:ascii="Times New Roman" w:hAnsi="Times New Roman"/>
          <w:sz w:val="26"/>
          <w:szCs w:val="26"/>
          <w:vertAlign w:val="superscript"/>
        </w:rPr>
      </w:pPr>
    </w:p>
    <w:p w:rsidR="00D122BA" w:rsidRPr="00D122BA" w:rsidRDefault="00D122BA" w:rsidP="00D122BA">
      <w:pPr>
        <w:pStyle w:val="ListParagraph"/>
        <w:spacing w:after="0" w:line="360" w:lineRule="exact"/>
        <w:ind w:left="1440"/>
        <w:jc w:val="both"/>
        <w:rPr>
          <w:rFonts w:ascii="Times New Roman" w:hAnsi="Times New Roman"/>
          <w:sz w:val="26"/>
          <w:szCs w:val="26"/>
          <w:vertAlign w:val="superscript"/>
        </w:rPr>
      </w:pPr>
    </w:p>
    <w:p w:rsidR="00D122BA" w:rsidRPr="00D122BA" w:rsidRDefault="00D122BA" w:rsidP="00D122BA">
      <w:pPr>
        <w:spacing w:after="0" w:line="360" w:lineRule="exact"/>
        <w:ind w:left="720"/>
        <w:jc w:val="both"/>
        <w:rPr>
          <w:rFonts w:ascii="Times New Roman" w:hAnsi="Times New Roman"/>
          <w:sz w:val="26"/>
          <w:szCs w:val="26"/>
          <w:vertAlign w:val="superscript"/>
        </w:rPr>
      </w:pPr>
    </w:p>
    <w:p w:rsidR="00D122BA" w:rsidRPr="00D122BA" w:rsidRDefault="00D122BA" w:rsidP="00D122BA">
      <w:pPr>
        <w:pStyle w:val="ListParagraph"/>
        <w:spacing w:after="0" w:line="360" w:lineRule="exact"/>
        <w:ind w:left="1440"/>
        <w:jc w:val="both"/>
        <w:rPr>
          <w:rFonts w:ascii="Times New Roman" w:hAnsi="Times New Roman"/>
          <w:sz w:val="26"/>
          <w:szCs w:val="26"/>
          <w:vertAlign w:val="superscript"/>
        </w:rPr>
      </w:pPr>
    </w:p>
    <w:sectPr w:rsidR="00D122BA" w:rsidRPr="00D122BA" w:rsidSect="009809D7">
      <w:footerReference w:type="default" r:id="rId12"/>
      <w:pgSz w:w="11907" w:h="16840" w:code="9"/>
      <w:pgMar w:top="1134" w:right="851" w:bottom="1134" w:left="1701" w:header="72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1EF" w:rsidRDefault="001061EF" w:rsidP="00C8496B">
      <w:pPr>
        <w:spacing w:after="0" w:line="240" w:lineRule="auto"/>
      </w:pPr>
      <w:r>
        <w:separator/>
      </w:r>
    </w:p>
  </w:endnote>
  <w:endnote w:type="continuationSeparator" w:id="0">
    <w:p w:rsidR="001061EF" w:rsidRDefault="001061EF" w:rsidP="00C84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878114"/>
      <w:docPartObj>
        <w:docPartGallery w:val="Page Numbers (Bottom of Page)"/>
        <w:docPartUnique/>
      </w:docPartObj>
    </w:sdtPr>
    <w:sdtEndPr>
      <w:rPr>
        <w:noProof/>
      </w:rPr>
    </w:sdtEndPr>
    <w:sdtContent>
      <w:p w:rsidR="00D9349E" w:rsidRDefault="00D9349E">
        <w:pPr>
          <w:pStyle w:val="Footer"/>
          <w:jc w:val="right"/>
        </w:pPr>
        <w:r>
          <w:ptab w:relativeTo="margin" w:alignment="left" w:leader="underscore"/>
        </w:r>
        <w:fldSimple w:instr=" PAGE   \* MERGEFORMAT ">
          <w:r w:rsidR="00901B63">
            <w:rPr>
              <w:noProof/>
            </w:rPr>
            <w:t>1</w:t>
          </w:r>
        </w:fldSimple>
      </w:p>
    </w:sdtContent>
  </w:sdt>
  <w:p w:rsidR="00D9349E" w:rsidRDefault="00D93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1EF" w:rsidRDefault="001061EF" w:rsidP="00C8496B">
      <w:pPr>
        <w:spacing w:after="0" w:line="240" w:lineRule="auto"/>
      </w:pPr>
      <w:r>
        <w:separator/>
      </w:r>
    </w:p>
  </w:footnote>
  <w:footnote w:type="continuationSeparator" w:id="0">
    <w:p w:rsidR="001061EF" w:rsidRDefault="001061EF" w:rsidP="00C849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F77"/>
    <w:multiLevelType w:val="hybridMultilevel"/>
    <w:tmpl w:val="908A9D4C"/>
    <w:lvl w:ilvl="0" w:tplc="2C78494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3B0C21"/>
    <w:multiLevelType w:val="hybridMultilevel"/>
    <w:tmpl w:val="A9468490"/>
    <w:lvl w:ilvl="0" w:tplc="A6E2A9D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160934"/>
    <w:multiLevelType w:val="hybridMultilevel"/>
    <w:tmpl w:val="23027760"/>
    <w:lvl w:ilvl="0" w:tplc="AD041BD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39910C9"/>
    <w:multiLevelType w:val="hybridMultilevel"/>
    <w:tmpl w:val="055E54F2"/>
    <w:lvl w:ilvl="0" w:tplc="B5D8C9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7357D"/>
    <w:multiLevelType w:val="hybridMultilevel"/>
    <w:tmpl w:val="EC9A5580"/>
    <w:lvl w:ilvl="0" w:tplc="089463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993349"/>
    <w:multiLevelType w:val="hybridMultilevel"/>
    <w:tmpl w:val="5106BB40"/>
    <w:lvl w:ilvl="0" w:tplc="75D26C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865BCF"/>
    <w:multiLevelType w:val="hybridMultilevel"/>
    <w:tmpl w:val="AC1A1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62B49"/>
    <w:multiLevelType w:val="hybridMultilevel"/>
    <w:tmpl w:val="A3068552"/>
    <w:lvl w:ilvl="0" w:tplc="F236943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FDD09F1"/>
    <w:multiLevelType w:val="hybridMultilevel"/>
    <w:tmpl w:val="439C3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114A6"/>
    <w:multiLevelType w:val="hybridMultilevel"/>
    <w:tmpl w:val="D28CE7EE"/>
    <w:lvl w:ilvl="0" w:tplc="F2F2F3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63F3B83"/>
    <w:multiLevelType w:val="hybridMultilevel"/>
    <w:tmpl w:val="6FA69FC6"/>
    <w:lvl w:ilvl="0" w:tplc="280CC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1E7179"/>
    <w:multiLevelType w:val="hybridMultilevel"/>
    <w:tmpl w:val="B016BBF8"/>
    <w:lvl w:ilvl="0" w:tplc="1902D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9D1B31"/>
    <w:multiLevelType w:val="hybridMultilevel"/>
    <w:tmpl w:val="E3327B6A"/>
    <w:lvl w:ilvl="0" w:tplc="A8CE9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7"/>
  </w:num>
  <w:num w:numId="6">
    <w:abstractNumId w:val="9"/>
  </w:num>
  <w:num w:numId="7">
    <w:abstractNumId w:val="3"/>
  </w:num>
  <w:num w:numId="8">
    <w:abstractNumId w:val="12"/>
  </w:num>
  <w:num w:numId="9">
    <w:abstractNumId w:val="1"/>
  </w:num>
  <w:num w:numId="10">
    <w:abstractNumId w:val="10"/>
  </w:num>
  <w:num w:numId="11">
    <w:abstractNumId w:val="11"/>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characterSpacingControl w:val="doNotCompress"/>
  <w:hdrShapeDefaults>
    <o:shapedefaults v:ext="edit" spidmax="30722"/>
  </w:hdrShapeDefaults>
  <w:footnotePr>
    <w:footnote w:id="-1"/>
    <w:footnote w:id="0"/>
  </w:footnotePr>
  <w:endnotePr>
    <w:endnote w:id="-1"/>
    <w:endnote w:id="0"/>
  </w:endnotePr>
  <w:compat/>
  <w:rsids>
    <w:rsidRoot w:val="00992805"/>
    <w:rsid w:val="000A7C4F"/>
    <w:rsid w:val="000B5B0C"/>
    <w:rsid w:val="000B7A91"/>
    <w:rsid w:val="000E07C7"/>
    <w:rsid w:val="001001E5"/>
    <w:rsid w:val="001061EF"/>
    <w:rsid w:val="00190D4F"/>
    <w:rsid w:val="001C4DF7"/>
    <w:rsid w:val="00215ACE"/>
    <w:rsid w:val="002352AC"/>
    <w:rsid w:val="00267C08"/>
    <w:rsid w:val="002B6B3F"/>
    <w:rsid w:val="002D3C74"/>
    <w:rsid w:val="0033609D"/>
    <w:rsid w:val="003442EF"/>
    <w:rsid w:val="00386860"/>
    <w:rsid w:val="003A3F0B"/>
    <w:rsid w:val="00400A17"/>
    <w:rsid w:val="00416084"/>
    <w:rsid w:val="00425475"/>
    <w:rsid w:val="0044343B"/>
    <w:rsid w:val="00466BBB"/>
    <w:rsid w:val="005078EA"/>
    <w:rsid w:val="0052392B"/>
    <w:rsid w:val="00577A88"/>
    <w:rsid w:val="005F5B96"/>
    <w:rsid w:val="00626567"/>
    <w:rsid w:val="00650ABC"/>
    <w:rsid w:val="006670FF"/>
    <w:rsid w:val="00680129"/>
    <w:rsid w:val="006A7BB6"/>
    <w:rsid w:val="006B4C6A"/>
    <w:rsid w:val="006C76DC"/>
    <w:rsid w:val="00721677"/>
    <w:rsid w:val="00770888"/>
    <w:rsid w:val="007959CA"/>
    <w:rsid w:val="007D1D80"/>
    <w:rsid w:val="007F189C"/>
    <w:rsid w:val="00816CD6"/>
    <w:rsid w:val="00824842"/>
    <w:rsid w:val="00832CA0"/>
    <w:rsid w:val="008A383B"/>
    <w:rsid w:val="008A38FF"/>
    <w:rsid w:val="008B3902"/>
    <w:rsid w:val="00901B63"/>
    <w:rsid w:val="009202A1"/>
    <w:rsid w:val="00940976"/>
    <w:rsid w:val="009809D7"/>
    <w:rsid w:val="00992805"/>
    <w:rsid w:val="009C4498"/>
    <w:rsid w:val="009D19E5"/>
    <w:rsid w:val="009D5F56"/>
    <w:rsid w:val="00A26E8E"/>
    <w:rsid w:val="00A3452E"/>
    <w:rsid w:val="00A818D3"/>
    <w:rsid w:val="00B556A0"/>
    <w:rsid w:val="00B55E52"/>
    <w:rsid w:val="00B62754"/>
    <w:rsid w:val="00B820A1"/>
    <w:rsid w:val="00BC20B9"/>
    <w:rsid w:val="00BD5565"/>
    <w:rsid w:val="00BF4681"/>
    <w:rsid w:val="00C0164D"/>
    <w:rsid w:val="00C100E8"/>
    <w:rsid w:val="00C30FFA"/>
    <w:rsid w:val="00C676E3"/>
    <w:rsid w:val="00C8496B"/>
    <w:rsid w:val="00C964BC"/>
    <w:rsid w:val="00CF01C0"/>
    <w:rsid w:val="00D122BA"/>
    <w:rsid w:val="00D46800"/>
    <w:rsid w:val="00D63CB3"/>
    <w:rsid w:val="00D83CD6"/>
    <w:rsid w:val="00D9349E"/>
    <w:rsid w:val="00E03407"/>
    <w:rsid w:val="00E125F3"/>
    <w:rsid w:val="00E30F05"/>
    <w:rsid w:val="00E8349E"/>
    <w:rsid w:val="00EA4CB8"/>
    <w:rsid w:val="00EA50D0"/>
    <w:rsid w:val="00F66400"/>
    <w:rsid w:val="00F76706"/>
    <w:rsid w:val="00F9714D"/>
    <w:rsid w:val="00FD7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92805"/>
    <w:rPr>
      <w:color w:val="0000FF"/>
      <w:u w:val="single"/>
    </w:rPr>
  </w:style>
  <w:style w:type="paragraph" w:styleId="BalloonText">
    <w:name w:val="Balloon Text"/>
    <w:basedOn w:val="Normal"/>
    <w:link w:val="BalloonTextChar"/>
    <w:uiPriority w:val="99"/>
    <w:semiHidden/>
    <w:unhideWhenUsed/>
    <w:rsid w:val="00E12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5F3"/>
    <w:rPr>
      <w:rFonts w:ascii="Tahoma" w:hAnsi="Tahoma" w:cs="Tahoma"/>
      <w:sz w:val="16"/>
      <w:szCs w:val="16"/>
    </w:rPr>
  </w:style>
  <w:style w:type="paragraph" w:styleId="ListParagraph">
    <w:name w:val="List Paragraph"/>
    <w:basedOn w:val="Normal"/>
    <w:uiPriority w:val="34"/>
    <w:qFormat/>
    <w:rsid w:val="00E125F3"/>
    <w:pPr>
      <w:ind w:left="720"/>
      <w:contextualSpacing/>
    </w:pPr>
  </w:style>
  <w:style w:type="paragraph" w:styleId="Header">
    <w:name w:val="header"/>
    <w:basedOn w:val="Normal"/>
    <w:link w:val="HeaderChar"/>
    <w:uiPriority w:val="99"/>
    <w:unhideWhenUsed/>
    <w:rsid w:val="00C8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96B"/>
  </w:style>
  <w:style w:type="paragraph" w:styleId="Footer">
    <w:name w:val="footer"/>
    <w:basedOn w:val="Normal"/>
    <w:link w:val="FooterChar"/>
    <w:uiPriority w:val="99"/>
    <w:unhideWhenUsed/>
    <w:rsid w:val="00C8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96B"/>
  </w:style>
  <w:style w:type="paragraph" w:styleId="NormalWeb">
    <w:name w:val="Normal (Web)"/>
    <w:basedOn w:val="Normal"/>
    <w:uiPriority w:val="99"/>
    <w:unhideWhenUsed/>
    <w:rsid w:val="00B556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56A0"/>
    <w:rPr>
      <w:b/>
      <w:bCs/>
    </w:rPr>
  </w:style>
  <w:style w:type="character" w:styleId="CommentReference">
    <w:name w:val="annotation reference"/>
    <w:basedOn w:val="DefaultParagraphFont"/>
    <w:uiPriority w:val="99"/>
    <w:semiHidden/>
    <w:unhideWhenUsed/>
    <w:rsid w:val="0052392B"/>
    <w:rPr>
      <w:sz w:val="16"/>
      <w:szCs w:val="16"/>
    </w:rPr>
  </w:style>
  <w:style w:type="paragraph" w:styleId="CommentText">
    <w:name w:val="annotation text"/>
    <w:basedOn w:val="Normal"/>
    <w:link w:val="CommentTextChar"/>
    <w:uiPriority w:val="99"/>
    <w:semiHidden/>
    <w:unhideWhenUsed/>
    <w:rsid w:val="0052392B"/>
    <w:pPr>
      <w:spacing w:line="240" w:lineRule="auto"/>
    </w:pPr>
    <w:rPr>
      <w:sz w:val="20"/>
      <w:szCs w:val="20"/>
    </w:rPr>
  </w:style>
  <w:style w:type="character" w:customStyle="1" w:styleId="CommentTextChar">
    <w:name w:val="Comment Text Char"/>
    <w:basedOn w:val="DefaultParagraphFont"/>
    <w:link w:val="CommentText"/>
    <w:uiPriority w:val="99"/>
    <w:semiHidden/>
    <w:rsid w:val="0052392B"/>
    <w:rPr>
      <w:sz w:val="20"/>
      <w:szCs w:val="20"/>
    </w:rPr>
  </w:style>
  <w:style w:type="paragraph" w:styleId="CommentSubject">
    <w:name w:val="annotation subject"/>
    <w:basedOn w:val="CommentText"/>
    <w:next w:val="CommentText"/>
    <w:link w:val="CommentSubjectChar"/>
    <w:uiPriority w:val="99"/>
    <w:semiHidden/>
    <w:unhideWhenUsed/>
    <w:rsid w:val="0052392B"/>
    <w:rPr>
      <w:b/>
      <w:bCs/>
    </w:rPr>
  </w:style>
  <w:style w:type="character" w:customStyle="1" w:styleId="CommentSubjectChar">
    <w:name w:val="Comment Subject Char"/>
    <w:basedOn w:val="CommentTextChar"/>
    <w:link w:val="CommentSubject"/>
    <w:uiPriority w:val="99"/>
    <w:semiHidden/>
    <w:rsid w:val="005239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thong%20bao%20co%20dong/Mau_03_%20Nguoi_co_lien_quan.rar"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images/thong%20bao%20co%20dong/Mau_03_%20Nguoi_co_lien_quan.rar" TargetMode="External"/><Relationship Id="rId4" Type="http://schemas.openxmlformats.org/officeDocument/2006/relationships/settings" Target="settings.xml"/><Relationship Id="rId9" Type="http://schemas.openxmlformats.org/officeDocument/2006/relationships/hyperlink" Target="http://www.evnfc.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E3012-05B5-449B-98BB-250E1D1B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nhatvtn</cp:lastModifiedBy>
  <cp:revision>34</cp:revision>
  <cp:lastPrinted>2020-01-14T04:18:00Z</cp:lastPrinted>
  <dcterms:created xsi:type="dcterms:W3CDTF">2018-01-29T07:23:00Z</dcterms:created>
  <dcterms:modified xsi:type="dcterms:W3CDTF">2020-01-15T10:19:00Z</dcterms:modified>
</cp:coreProperties>
</file>